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A6D3F">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none"/>
          <w:lang w:val="en-US" w:eastAsia="zh-CN"/>
        </w:rPr>
      </w:pPr>
      <w:r>
        <w:rPr>
          <w:rFonts w:hint="eastAsia" w:ascii="宋体" w:hAnsi="宋体" w:eastAsia="宋体" w:cs="宋体"/>
          <w:b/>
          <w:sz w:val="44"/>
          <w:szCs w:val="44"/>
          <w:highlight w:val="none"/>
          <w:lang w:val="en-US" w:eastAsia="zh-CN"/>
        </w:rPr>
        <w:t>《兴业银行深圳分行关于2026年</w:t>
      </w:r>
      <w:r>
        <w:rPr>
          <w:rFonts w:hint="eastAsia" w:ascii="宋体" w:hAnsi="宋体" w:cs="宋体"/>
          <w:b/>
          <w:sz w:val="44"/>
          <w:szCs w:val="44"/>
          <w:highlight w:val="none"/>
          <w:lang w:val="en-US" w:eastAsia="zh-CN"/>
        </w:rPr>
        <w:t>全行押运委托</w:t>
      </w:r>
      <w:r>
        <w:rPr>
          <w:rFonts w:hint="eastAsia" w:ascii="宋体" w:hAnsi="宋体" w:eastAsia="宋体" w:cs="宋体"/>
          <w:b/>
          <w:sz w:val="44"/>
          <w:szCs w:val="44"/>
          <w:highlight w:val="none"/>
          <w:lang w:val="en-US" w:eastAsia="zh-CN"/>
        </w:rPr>
        <w:t>项目》供应商征集</w:t>
      </w:r>
      <w:r>
        <w:rPr>
          <w:rFonts w:hint="eastAsia" w:ascii="宋体" w:hAnsi="宋体" w:cs="宋体"/>
          <w:b/>
          <w:sz w:val="44"/>
          <w:szCs w:val="44"/>
          <w:highlight w:val="none"/>
          <w:lang w:val="en-US" w:eastAsia="zh-CN"/>
        </w:rPr>
        <w:t>调研</w:t>
      </w:r>
      <w:r>
        <w:rPr>
          <w:rFonts w:hint="eastAsia" w:ascii="宋体" w:hAnsi="宋体" w:eastAsia="宋体" w:cs="宋体"/>
          <w:b/>
          <w:sz w:val="44"/>
          <w:szCs w:val="44"/>
          <w:highlight w:val="none"/>
          <w:lang w:val="en-US" w:eastAsia="zh-CN"/>
        </w:rPr>
        <w:t>反馈材料-公司名称（全称）</w:t>
      </w:r>
    </w:p>
    <w:p w14:paraId="7BD02FF9">
      <w:pPr>
        <w:ind w:left="0" w:leftChars="0" w:firstLine="0" w:firstLineChars="0"/>
        <w:jc w:val="center"/>
        <w:rPr>
          <w:rFonts w:hint="eastAsia" w:ascii="仿宋" w:hAnsi="仿宋" w:eastAsia="仿宋"/>
          <w:b/>
          <w:bCs/>
          <w:sz w:val="36"/>
          <w:szCs w:val="36"/>
          <w:highlight w:val="none"/>
          <w:lang w:val="en-US" w:eastAsia="zh-CN"/>
        </w:rPr>
      </w:pPr>
    </w:p>
    <w:p w14:paraId="1F36C57C">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highlight w:val="none"/>
          <w:lang w:val="en-US" w:eastAsia="zh-CN"/>
        </w:rPr>
        <w:t>目录指引</w:t>
      </w:r>
      <w:r>
        <w:rPr>
          <w:rFonts w:hint="eastAsia" w:ascii="仿宋" w:hAnsi="仿宋" w:eastAsia="仿宋"/>
          <w:b/>
          <w:bCs/>
          <w:color w:val="FF0000"/>
          <w:sz w:val="24"/>
          <w:szCs w:val="24"/>
          <w:highlight w:val="none"/>
          <w:lang w:val="en-US" w:eastAsia="zh-CN"/>
        </w:rPr>
        <w:t>（请报名供应商据实修改）</w:t>
      </w:r>
    </w:p>
    <w:p w14:paraId="3B3BA216">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highlight w:val="none"/>
          <w:lang w:val="en-US" w:eastAsia="zh-CN" w:bidi="ar-SA"/>
        </w:rPr>
      </w:pPr>
      <w:r>
        <w:rPr>
          <w:rFonts w:hint="eastAsia" w:ascii="仿宋" w:hAnsi="仿宋" w:eastAsia="仿宋" w:cs="Times New Roman"/>
          <w:b/>
          <w:bCs/>
          <w:kern w:val="2"/>
          <w:sz w:val="28"/>
          <w:szCs w:val="28"/>
          <w:highlight w:val="none"/>
          <w:lang w:val="en-US" w:eastAsia="zh-CN" w:bidi="ar-SA"/>
        </w:rPr>
        <w:t>第一部分 对应页码P1-P20</w:t>
      </w:r>
    </w:p>
    <w:p w14:paraId="47801AD6">
      <w:pPr>
        <w:pStyle w:val="4"/>
        <w:tabs>
          <w:tab w:val="left" w:pos="992"/>
        </w:tabs>
        <w:ind w:left="0" w:leftChars="0" w:firstLine="0" w:firstLineChars="0"/>
        <w:jc w:val="center"/>
        <w:outlineLvl w:val="0"/>
        <w:rPr>
          <w:rFonts w:hint="eastAsia" w:ascii="仿宋" w:hAnsi="仿宋" w:eastAsia="仿宋" w:cs="Times New Roman"/>
          <w:b/>
          <w:bCs/>
          <w:kern w:val="2"/>
          <w:sz w:val="28"/>
          <w:szCs w:val="28"/>
          <w:highlight w:val="none"/>
          <w:lang w:val="en-US" w:eastAsia="zh-CN" w:bidi="ar-SA"/>
        </w:rPr>
      </w:pPr>
      <w:r>
        <w:rPr>
          <w:rFonts w:hint="eastAsia" w:ascii="仿宋" w:hAnsi="仿宋" w:eastAsia="仿宋" w:cs="Times New Roman"/>
          <w:b/>
          <w:bCs/>
          <w:kern w:val="2"/>
          <w:sz w:val="28"/>
          <w:szCs w:val="28"/>
          <w:highlight w:val="none"/>
          <w:lang w:val="en-US" w:eastAsia="zh-CN" w:bidi="ar-SA"/>
        </w:rPr>
        <w:t>第二部分 对应页码P21-P30</w:t>
      </w:r>
    </w:p>
    <w:p w14:paraId="12960E22">
      <w:pPr>
        <w:pStyle w:val="4"/>
        <w:tabs>
          <w:tab w:val="left" w:pos="992"/>
        </w:tabs>
        <w:ind w:left="0" w:leftChars="0" w:firstLine="0" w:firstLineChars="0"/>
        <w:jc w:val="center"/>
        <w:outlineLvl w:val="0"/>
        <w:rPr>
          <w:rFonts w:hint="default" w:ascii="仿宋" w:hAnsi="仿宋" w:eastAsia="仿宋" w:cs="Times New Roman"/>
          <w:b/>
          <w:bCs/>
          <w:kern w:val="2"/>
          <w:sz w:val="28"/>
          <w:szCs w:val="28"/>
          <w:highlight w:val="none"/>
          <w:lang w:val="en-US" w:eastAsia="zh-CN" w:bidi="ar-SA"/>
        </w:rPr>
      </w:pPr>
      <w:r>
        <w:rPr>
          <w:rFonts w:hint="eastAsia" w:ascii="仿宋" w:hAnsi="仿宋" w:eastAsia="仿宋" w:cs="Times New Roman"/>
          <w:b/>
          <w:bCs/>
          <w:kern w:val="2"/>
          <w:sz w:val="28"/>
          <w:szCs w:val="28"/>
          <w:highlight w:val="none"/>
          <w:lang w:val="en-US" w:eastAsia="zh-CN" w:bidi="ar-SA"/>
        </w:rPr>
        <w:t>第三部分 对应页码P31-P40</w:t>
      </w:r>
    </w:p>
    <w:p w14:paraId="31D85D71">
      <w:pPr>
        <w:pStyle w:val="4"/>
        <w:tabs>
          <w:tab w:val="left" w:pos="992"/>
        </w:tabs>
        <w:ind w:firstLine="0" w:firstLineChars="0"/>
        <w:jc w:val="center"/>
        <w:outlineLvl w:val="0"/>
        <w:rPr>
          <w:rFonts w:hint="eastAsia"/>
          <w:highlight w:val="none"/>
          <w:lang w:val="en-US" w:eastAsia="zh-CN"/>
        </w:rPr>
      </w:pPr>
      <w:r>
        <w:rPr>
          <w:rFonts w:hint="eastAsia" w:ascii="仿宋" w:hAnsi="仿宋" w:eastAsia="仿宋" w:cs="Times New Roman"/>
          <w:b/>
          <w:bCs/>
          <w:kern w:val="2"/>
          <w:sz w:val="28"/>
          <w:szCs w:val="28"/>
          <w:highlight w:val="none"/>
          <w:lang w:val="en-US" w:eastAsia="zh-CN" w:bidi="ar-SA"/>
        </w:rPr>
        <w:t>第四部分 对应页码P41-P50</w:t>
      </w:r>
    </w:p>
    <w:p w14:paraId="1CA3EE43">
      <w:pPr>
        <w:pStyle w:val="11"/>
        <w:rPr>
          <w:rFonts w:hint="eastAsia"/>
          <w:highlight w:val="none"/>
          <w:lang w:val="en-US" w:eastAsia="zh-CN"/>
        </w:rPr>
      </w:pPr>
    </w:p>
    <w:p w14:paraId="2E5BE879">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一</w:t>
      </w:r>
      <w:r>
        <w:rPr>
          <w:rFonts w:hint="eastAsia" w:ascii="黑体" w:hAnsi="黑体" w:eastAsia="黑体" w:cs="黑体"/>
          <w:b w:val="0"/>
          <w:bCs/>
          <w:sz w:val="32"/>
          <w:szCs w:val="32"/>
          <w:highlight w:val="none"/>
          <w:lang w:eastAsia="zh-CN"/>
        </w:rPr>
        <w:t>、</w:t>
      </w:r>
      <w:r>
        <w:rPr>
          <w:rFonts w:hint="eastAsia" w:ascii="黑体" w:hAnsi="黑体" w:eastAsia="黑体" w:cs="黑体"/>
          <w:b w:val="0"/>
          <w:bCs/>
          <w:sz w:val="32"/>
          <w:szCs w:val="32"/>
          <w:highlight w:val="none"/>
        </w:rPr>
        <w:t>项目要求应答部分</w:t>
      </w:r>
    </w:p>
    <w:p w14:paraId="71BA44E3">
      <w:pPr>
        <w:keepNext w:val="0"/>
        <w:keepLines w:val="0"/>
        <w:pageBreakBefore w:val="0"/>
        <w:kinsoku/>
        <w:wordWrap/>
        <w:overflowPunct/>
        <w:autoSpaceDE/>
        <w:autoSpaceDN/>
        <w:bidi w:val="0"/>
        <w:adjustRightInd/>
        <w:snapToGrid/>
        <w:spacing w:line="579" w:lineRule="exact"/>
        <w:ind w:left="0" w:leftChars="0" w:firstLine="640" w:firstLineChars="200"/>
        <w:textAlignment w:val="auto"/>
        <w:outlineLvl w:val="9"/>
        <w:rPr>
          <w:rFonts w:hint="eastAsia" w:ascii="仿宋" w:hAnsi="仿宋" w:eastAsia="仿宋" w:cs="仿宋"/>
          <w:b w:val="0"/>
          <w:bCs w:val="0"/>
          <w:color w:val="000000" w:themeColor="text1"/>
          <w:sz w:val="32"/>
          <w:szCs w:val="32"/>
          <w:highlight w:val="none"/>
          <w14:textFill>
            <w14:solidFill>
              <w14:schemeClr w14:val="tx1"/>
            </w14:solidFill>
          </w14:textFill>
        </w:rPr>
      </w:pPr>
      <w:r>
        <w:rPr>
          <w:rFonts w:hint="eastAsia" w:ascii="仿宋" w:hAnsi="仿宋" w:eastAsia="仿宋" w:cs="仿宋"/>
          <w:b w:val="0"/>
          <w:bCs w:val="0"/>
          <w:color w:val="000000" w:themeColor="text1"/>
          <w:sz w:val="32"/>
          <w:szCs w:val="32"/>
          <w:highlight w:val="none"/>
          <w14:textFill>
            <w14:solidFill>
              <w14:schemeClr w14:val="tx1"/>
            </w14:solidFill>
          </w14:textFill>
        </w:rPr>
        <w:t>（“是否满足”和“基本情况说明”列由供应商填写。）</w:t>
      </w:r>
    </w:p>
    <w:tbl>
      <w:tblPr>
        <w:tblStyle w:val="8"/>
        <w:tblW w:w="9563"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6"/>
        <w:gridCol w:w="2378"/>
        <w:gridCol w:w="4819"/>
      </w:tblGrid>
      <w:tr w14:paraId="0A83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14:paraId="2C922AA3">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审核事项</w:t>
            </w:r>
          </w:p>
        </w:tc>
        <w:tc>
          <w:tcPr>
            <w:tcW w:w="2378" w:type="dxa"/>
            <w:vAlign w:val="center"/>
          </w:tcPr>
          <w:p w14:paraId="4054ED06">
            <w:pPr>
              <w:ind w:left="0" w:leftChars="0" w:firstLine="0" w:firstLineChars="0"/>
              <w:rPr>
                <w:rFonts w:hint="eastAsia" w:ascii="仿宋" w:hAnsi="仿宋" w:eastAsia="仿宋" w:cs="仿宋"/>
                <w:b/>
                <w:bCs/>
                <w:sz w:val="28"/>
                <w:szCs w:val="28"/>
              </w:rPr>
            </w:pPr>
            <w:r>
              <w:rPr>
                <w:rFonts w:hint="eastAsia" w:ascii="仿宋" w:hAnsi="仿宋" w:eastAsia="仿宋" w:cs="仿宋"/>
                <w:b/>
                <w:bCs/>
                <w:sz w:val="28"/>
                <w:szCs w:val="28"/>
              </w:rPr>
              <w:t>是否满足（是/否）</w:t>
            </w:r>
          </w:p>
        </w:tc>
        <w:tc>
          <w:tcPr>
            <w:tcW w:w="4819" w:type="dxa"/>
            <w:vAlign w:val="center"/>
          </w:tcPr>
          <w:p w14:paraId="22D981FE">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基本情况说明</w:t>
            </w:r>
          </w:p>
        </w:tc>
      </w:tr>
      <w:tr w14:paraId="07E7A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14:paraId="19B2D0AF">
            <w:pPr>
              <w:ind w:left="0" w:leftChars="0" w:firstLine="0" w:firstLineChars="0"/>
              <w:jc w:val="left"/>
              <w:rPr>
                <w:rFonts w:hint="eastAsia" w:ascii="仿宋" w:hAnsi="仿宋" w:eastAsia="仿宋" w:cs="仿宋"/>
                <w:b/>
                <w:bCs/>
                <w:color w:val="auto"/>
                <w:sz w:val="28"/>
                <w:szCs w:val="28"/>
              </w:rPr>
            </w:pPr>
            <w:r>
              <w:rPr>
                <w:rFonts w:hint="eastAsia" w:ascii="仿宋" w:hAnsi="仿宋" w:eastAsia="仿宋" w:cs="仿宋"/>
                <w:b/>
                <w:bCs/>
                <w:color w:val="auto"/>
                <w:sz w:val="28"/>
                <w:szCs w:val="28"/>
              </w:rPr>
              <w:t>一、采购需求及资格要求</w:t>
            </w:r>
          </w:p>
        </w:tc>
      </w:tr>
      <w:tr w14:paraId="68D2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14:paraId="4CD618F1">
            <w:pPr>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1.1采购需求</w:t>
            </w:r>
          </w:p>
        </w:tc>
      </w:tr>
      <w:tr w14:paraId="1C3B4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14:paraId="7DCC3758">
            <w:pPr>
              <w:ind w:left="0" w:leftChars="0" w:firstLine="0" w:firstLineChars="0"/>
              <w:rPr>
                <w:rFonts w:hint="default" w:ascii="仿宋" w:hAnsi="仿宋" w:eastAsia="仿宋" w:cs="仿宋"/>
                <w:b/>
                <w:bCs/>
                <w:color w:val="auto"/>
                <w:sz w:val="24"/>
                <w:szCs w:val="24"/>
                <w:highlight w:val="none"/>
                <w:lang w:val="en-US" w:eastAsia="zh-CN"/>
              </w:rPr>
            </w:pPr>
            <w:r>
              <w:rPr>
                <w:rFonts w:hint="eastAsia" w:ascii="仿宋" w:hAnsi="仿宋" w:eastAsia="仿宋" w:cs="仿宋"/>
                <w:b w:val="0"/>
                <w:bCs/>
                <w:kern w:val="2"/>
                <w:sz w:val="24"/>
                <w:szCs w:val="24"/>
                <w:lang w:val="en-US" w:eastAsia="zh-CN" w:bidi="ar-SA"/>
              </w:rPr>
              <w:t>符合《银行金库》等中华人民共和国公共安全行业标准和金融行业标准的金库保管款箱寄库和查库服务。</w:t>
            </w:r>
          </w:p>
        </w:tc>
        <w:tc>
          <w:tcPr>
            <w:tcW w:w="2378" w:type="dxa"/>
            <w:vAlign w:val="center"/>
          </w:tcPr>
          <w:p w14:paraId="5FC4C0CD">
            <w:pPr>
              <w:ind w:left="0" w:leftChars="0" w:firstLine="0" w:firstLineChars="0"/>
              <w:rPr>
                <w:rFonts w:hint="eastAsia" w:ascii="仿宋" w:hAnsi="仿宋" w:eastAsia="仿宋" w:cs="仿宋"/>
                <w:b/>
                <w:bCs/>
                <w:color w:val="auto"/>
                <w:sz w:val="24"/>
                <w:szCs w:val="24"/>
                <w:highlight w:val="none"/>
              </w:rPr>
            </w:pPr>
          </w:p>
        </w:tc>
        <w:tc>
          <w:tcPr>
            <w:tcW w:w="4819" w:type="dxa"/>
            <w:vAlign w:val="center"/>
          </w:tcPr>
          <w:p w14:paraId="7A2BBFEB">
            <w:pPr>
              <w:rPr>
                <w:rFonts w:hint="eastAsia" w:ascii="仿宋" w:hAnsi="仿宋" w:eastAsia="仿宋" w:cs="仿宋"/>
                <w:b/>
                <w:bCs/>
                <w:color w:val="auto"/>
                <w:sz w:val="24"/>
                <w:szCs w:val="24"/>
                <w:highlight w:val="none"/>
              </w:rPr>
            </w:pPr>
          </w:p>
        </w:tc>
      </w:tr>
      <w:tr w14:paraId="2A66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14:paraId="6AC3FCFC">
            <w:pPr>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1.2技术要求</w:t>
            </w:r>
            <w:r>
              <w:rPr>
                <w:rFonts w:hint="eastAsia" w:ascii="仿宋" w:hAnsi="仿宋" w:eastAsia="仿宋" w:cs="仿宋"/>
                <w:b/>
                <w:bCs/>
                <w:color w:val="auto"/>
                <w:sz w:val="28"/>
                <w:szCs w:val="28"/>
                <w:highlight w:val="none"/>
                <w:lang w:eastAsia="zh-CN"/>
              </w:rPr>
              <w:t>及服务要求</w:t>
            </w:r>
          </w:p>
        </w:tc>
      </w:tr>
      <w:tr w14:paraId="32C4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14:paraId="4D9097BE">
            <w:pPr>
              <w:ind w:left="0" w:leftChars="0" w:firstLine="0" w:firstLineChars="0"/>
              <w:rPr>
                <w:rFonts w:hint="eastAsia" w:ascii="仿宋" w:hAnsi="仿宋" w:eastAsia="仿宋" w:cs="仿宋"/>
                <w:color w:val="auto"/>
                <w:sz w:val="24"/>
                <w:szCs w:val="24"/>
                <w:lang w:val="en-US" w:eastAsia="zh-CN"/>
              </w:rPr>
            </w:pPr>
            <w:r>
              <w:rPr>
                <w:rFonts w:hint="eastAsia" w:ascii="仿宋" w:hAnsi="仿宋" w:eastAsia="仿宋" w:cs="仿宋"/>
                <w:b w:val="0"/>
                <w:bCs/>
                <w:kern w:val="2"/>
                <w:sz w:val="24"/>
                <w:szCs w:val="24"/>
                <w:lang w:val="en-US" w:eastAsia="zh-CN" w:bidi="ar-SA"/>
              </w:rPr>
              <w:t>谈判方负责对采购方委托的标的物进行保管、押运和武装护卫，并且按照双方确定的网点顺序和押运线路时间负责全程、安全、准点押运护卫。涉及的服务为：网点的早接晚送服务。中途现金调拨服务。中途现金调拨任务包括：分行与网点之间的现金调拨、深圳市人民银行或同业开户银行的现金领缴。</w:t>
            </w:r>
          </w:p>
        </w:tc>
        <w:tc>
          <w:tcPr>
            <w:tcW w:w="2378" w:type="dxa"/>
            <w:vAlign w:val="center"/>
          </w:tcPr>
          <w:p w14:paraId="3FDFC0A5">
            <w:pPr>
              <w:rPr>
                <w:rFonts w:hint="eastAsia" w:ascii="仿宋" w:hAnsi="仿宋" w:eastAsia="仿宋" w:cs="仿宋"/>
                <w:color w:val="auto"/>
                <w:sz w:val="24"/>
                <w:szCs w:val="24"/>
              </w:rPr>
            </w:pPr>
          </w:p>
        </w:tc>
        <w:tc>
          <w:tcPr>
            <w:tcW w:w="4819" w:type="dxa"/>
            <w:vAlign w:val="center"/>
          </w:tcPr>
          <w:p w14:paraId="0D2756EB">
            <w:pPr>
              <w:ind w:left="0" w:leftChars="0" w:firstLine="0" w:firstLineChars="0"/>
              <w:rPr>
                <w:rFonts w:hint="eastAsia" w:ascii="仿宋" w:hAnsi="仿宋" w:eastAsia="仿宋" w:cs="仿宋"/>
                <w:color w:val="auto"/>
                <w:sz w:val="24"/>
                <w:szCs w:val="24"/>
              </w:rPr>
            </w:pPr>
          </w:p>
        </w:tc>
      </w:tr>
      <w:tr w14:paraId="0115A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14:paraId="1A93CD19">
            <w:pPr>
              <w:ind w:left="0" w:leftChars="0" w:firstLine="0" w:firstLineChars="0"/>
              <w:rPr>
                <w:rFonts w:hint="eastAsia" w:ascii="仿宋" w:hAnsi="仿宋" w:eastAsia="仿宋" w:cs="仿宋"/>
                <w:color w:val="auto"/>
                <w:sz w:val="24"/>
                <w:szCs w:val="24"/>
                <w:lang w:val="en-US" w:eastAsia="zh-CN"/>
              </w:rPr>
            </w:pPr>
            <w:r>
              <w:rPr>
                <w:rFonts w:hint="eastAsia" w:ascii="仿宋" w:hAnsi="仿宋" w:eastAsia="仿宋" w:cs="仿宋"/>
                <w:b w:val="0"/>
                <w:bCs/>
                <w:kern w:val="2"/>
                <w:sz w:val="24"/>
                <w:szCs w:val="24"/>
                <w:lang w:val="en-US" w:eastAsia="zh-CN" w:bidi="ar-SA"/>
              </w:rPr>
              <w:t>涉及的押运品种为：现金款箱、重要空白凭证及有价证券等重要票证的运送；黄金、贵金属、贵重物品的运送；与人民银行发行库之间的现金存取、同业代理业务等运送；款箱寄库保管；其他采购方要求的武装押运和服务事项。</w:t>
            </w:r>
          </w:p>
        </w:tc>
        <w:tc>
          <w:tcPr>
            <w:tcW w:w="2378" w:type="dxa"/>
            <w:vAlign w:val="center"/>
          </w:tcPr>
          <w:p w14:paraId="28C21541">
            <w:pPr>
              <w:rPr>
                <w:rFonts w:hint="eastAsia" w:ascii="仿宋" w:hAnsi="仿宋" w:eastAsia="仿宋" w:cs="仿宋"/>
                <w:color w:val="auto"/>
                <w:sz w:val="24"/>
                <w:szCs w:val="24"/>
              </w:rPr>
            </w:pPr>
          </w:p>
        </w:tc>
        <w:tc>
          <w:tcPr>
            <w:tcW w:w="4819" w:type="dxa"/>
            <w:vAlign w:val="center"/>
          </w:tcPr>
          <w:p w14:paraId="4522E9A3">
            <w:pPr>
              <w:ind w:left="0" w:leftChars="0" w:firstLine="0" w:firstLineChars="0"/>
              <w:rPr>
                <w:rFonts w:hint="eastAsia" w:ascii="仿宋" w:hAnsi="仿宋" w:eastAsia="仿宋" w:cs="仿宋"/>
                <w:color w:val="auto"/>
                <w:sz w:val="24"/>
                <w:szCs w:val="24"/>
              </w:rPr>
            </w:pPr>
          </w:p>
        </w:tc>
      </w:tr>
      <w:tr w14:paraId="480E2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366" w:type="dxa"/>
            <w:vAlign w:val="center"/>
          </w:tcPr>
          <w:p w14:paraId="7084C633">
            <w:pPr>
              <w:ind w:left="0" w:leftChars="0" w:firstLine="0" w:firstLineChars="0"/>
              <w:rPr>
                <w:rFonts w:hint="eastAsia" w:ascii="仿宋" w:hAnsi="仿宋" w:eastAsia="仿宋" w:cs="仿宋"/>
                <w:color w:val="auto"/>
                <w:sz w:val="24"/>
                <w:szCs w:val="24"/>
                <w:lang w:val="en-US" w:eastAsia="zh-CN"/>
              </w:rPr>
            </w:pPr>
            <w:r>
              <w:rPr>
                <w:rFonts w:hint="eastAsia" w:ascii="仿宋" w:hAnsi="仿宋" w:eastAsia="仿宋" w:cs="仿宋"/>
                <w:b w:val="0"/>
                <w:bCs w:val="0"/>
                <w:kern w:val="44"/>
                <w:sz w:val="24"/>
                <w:szCs w:val="24"/>
                <w:lang w:val="en-US" w:eastAsia="zh-CN"/>
              </w:rPr>
              <w:t>获准进出人民银行发行库上缴和领用清分现金的专业化武装押运业务；</w:t>
            </w:r>
          </w:p>
        </w:tc>
        <w:tc>
          <w:tcPr>
            <w:tcW w:w="2378" w:type="dxa"/>
            <w:vAlign w:val="center"/>
          </w:tcPr>
          <w:p w14:paraId="44ECA3FE">
            <w:pPr>
              <w:rPr>
                <w:rFonts w:hint="eastAsia" w:ascii="仿宋" w:hAnsi="仿宋" w:eastAsia="仿宋" w:cs="仿宋"/>
                <w:color w:val="auto"/>
                <w:sz w:val="24"/>
                <w:szCs w:val="24"/>
              </w:rPr>
            </w:pPr>
          </w:p>
        </w:tc>
        <w:tc>
          <w:tcPr>
            <w:tcW w:w="4819" w:type="dxa"/>
            <w:vAlign w:val="center"/>
          </w:tcPr>
          <w:p w14:paraId="3E9FD450">
            <w:pPr>
              <w:rPr>
                <w:rFonts w:hint="eastAsia"/>
                <w:color w:val="auto"/>
                <w:sz w:val="24"/>
                <w:szCs w:val="24"/>
              </w:rPr>
            </w:pPr>
          </w:p>
        </w:tc>
      </w:tr>
      <w:tr w14:paraId="199DE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14:paraId="4199B951">
            <w:pPr>
              <w:ind w:left="0" w:leftChars="0" w:firstLine="0" w:firstLineChars="0"/>
              <w:rPr>
                <w:rFonts w:hint="eastAsia" w:ascii="仿宋" w:hAnsi="仿宋" w:eastAsia="仿宋" w:cs="仿宋"/>
                <w:b/>
                <w:bCs/>
                <w:color w:val="auto"/>
                <w:sz w:val="28"/>
                <w:szCs w:val="28"/>
                <w:highlight w:val="none"/>
              </w:rPr>
            </w:pPr>
            <w:r>
              <w:rPr>
                <w:rFonts w:hint="eastAsia" w:ascii="仿宋" w:hAnsi="仿宋" w:eastAsia="仿宋" w:cs="仿宋"/>
                <w:b w:val="0"/>
                <w:bCs w:val="0"/>
                <w:kern w:val="44"/>
                <w:sz w:val="24"/>
                <w:szCs w:val="24"/>
                <w:lang w:val="en-US" w:eastAsia="zh-CN"/>
              </w:rPr>
              <w:t>可从事银行机构现金押运、现金清分、自助设备托管、金库租赁、护卫守押业务</w:t>
            </w:r>
          </w:p>
        </w:tc>
        <w:tc>
          <w:tcPr>
            <w:tcW w:w="2378" w:type="dxa"/>
            <w:vAlign w:val="center"/>
          </w:tcPr>
          <w:p w14:paraId="22CA1BB3">
            <w:pPr>
              <w:ind w:left="0" w:leftChars="0" w:firstLine="0" w:firstLineChars="0"/>
              <w:rPr>
                <w:rFonts w:hint="eastAsia" w:ascii="仿宋" w:hAnsi="仿宋" w:eastAsia="仿宋" w:cs="仿宋"/>
                <w:b/>
                <w:bCs/>
                <w:color w:val="auto"/>
                <w:sz w:val="28"/>
                <w:szCs w:val="28"/>
                <w:highlight w:val="none"/>
              </w:rPr>
            </w:pPr>
          </w:p>
        </w:tc>
        <w:tc>
          <w:tcPr>
            <w:tcW w:w="4819" w:type="dxa"/>
            <w:vAlign w:val="center"/>
          </w:tcPr>
          <w:p w14:paraId="06D9DD1F">
            <w:pPr>
              <w:ind w:left="0" w:leftChars="0" w:firstLine="0" w:firstLineChars="0"/>
              <w:rPr>
                <w:rFonts w:hint="eastAsia" w:ascii="仿宋" w:hAnsi="仿宋" w:eastAsia="仿宋" w:cs="仿宋"/>
                <w:b/>
                <w:bCs/>
                <w:color w:val="auto"/>
                <w:sz w:val="28"/>
                <w:szCs w:val="28"/>
                <w:highlight w:val="none"/>
              </w:rPr>
            </w:pPr>
          </w:p>
        </w:tc>
      </w:tr>
      <w:tr w14:paraId="5010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14:paraId="587E16D6">
            <w:pPr>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sz w:val="28"/>
                <w:szCs w:val="28"/>
                <w:highlight w:val="none"/>
                <w:lang w:val="en-US" w:eastAsia="zh-CN"/>
              </w:rPr>
              <w:t>3</w:t>
            </w:r>
            <w:r>
              <w:rPr>
                <w:rFonts w:hint="eastAsia" w:ascii="仿宋" w:hAnsi="仿宋" w:eastAsia="仿宋" w:cs="仿宋"/>
                <w:b/>
                <w:bCs/>
                <w:color w:val="auto"/>
                <w:sz w:val="28"/>
                <w:szCs w:val="28"/>
                <w:highlight w:val="none"/>
              </w:rPr>
              <w:t>供应商资质要求</w:t>
            </w:r>
          </w:p>
        </w:tc>
      </w:tr>
      <w:tr w14:paraId="58BD7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14:paraId="6A33082B">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企业成立3年以上，经营正常，能够提供近三年（2022年-2024年）经会计师</w:t>
            </w:r>
            <w:bookmarkStart w:id="0" w:name="_GoBack"/>
            <w:bookmarkEnd w:id="0"/>
            <w:r>
              <w:rPr>
                <w:rFonts w:hint="eastAsia" w:ascii="仿宋" w:hAnsi="仿宋" w:eastAsia="仿宋" w:cs="仿宋"/>
                <w:color w:val="auto"/>
                <w:sz w:val="24"/>
                <w:szCs w:val="24"/>
                <w:lang w:val="en-US" w:eastAsia="zh-CN"/>
              </w:rPr>
              <w:t>事务所出具的审计报告，以证明其经济实力和履约能力，可稳定提供服务。</w:t>
            </w:r>
          </w:p>
        </w:tc>
        <w:tc>
          <w:tcPr>
            <w:tcW w:w="2378" w:type="dxa"/>
            <w:vAlign w:val="center"/>
          </w:tcPr>
          <w:p w14:paraId="251D212E">
            <w:pPr>
              <w:rPr>
                <w:rFonts w:hint="eastAsia" w:ascii="仿宋" w:hAnsi="仿宋" w:eastAsia="仿宋" w:cs="仿宋"/>
                <w:color w:val="auto"/>
                <w:sz w:val="24"/>
                <w:szCs w:val="24"/>
                <w:lang w:eastAsia="zh-CN"/>
              </w:rPr>
            </w:pPr>
          </w:p>
        </w:tc>
        <w:tc>
          <w:tcPr>
            <w:tcW w:w="4819" w:type="dxa"/>
            <w:vAlign w:val="center"/>
          </w:tcPr>
          <w:p w14:paraId="38DF7C3C">
            <w:pPr>
              <w:rPr>
                <w:rFonts w:hint="eastAsia" w:ascii="仿宋" w:hAnsi="仿宋" w:eastAsia="仿宋" w:cs="仿宋"/>
                <w:color w:val="auto"/>
                <w:sz w:val="24"/>
                <w:szCs w:val="24"/>
                <w:lang w:eastAsia="zh-CN"/>
              </w:rPr>
            </w:pPr>
          </w:p>
        </w:tc>
      </w:tr>
      <w:tr w14:paraId="1DC8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14:paraId="4530F51A">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lang w:eastAsia="zh-CN"/>
              </w:rPr>
              <w:t>202</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eastAsia="zh-CN"/>
              </w:rPr>
              <w:t>年</w:t>
            </w:r>
            <w:r>
              <w:rPr>
                <w:rFonts w:hint="eastAsia" w:ascii="仿宋" w:hAnsi="仿宋" w:eastAsia="仿宋" w:cs="仿宋"/>
                <w:color w:val="auto"/>
                <w:sz w:val="24"/>
                <w:szCs w:val="24"/>
                <w:lang w:val="en-US" w:eastAsia="zh-CN"/>
              </w:rPr>
              <w:t>12月1日</w:t>
            </w:r>
            <w:r>
              <w:rPr>
                <w:rFonts w:hint="eastAsia" w:ascii="仿宋" w:hAnsi="仿宋" w:eastAsia="仿宋" w:cs="仿宋"/>
                <w:color w:val="auto"/>
                <w:sz w:val="24"/>
                <w:szCs w:val="24"/>
                <w:lang w:eastAsia="zh-CN"/>
              </w:rPr>
              <w:t>至今</w:t>
            </w:r>
            <w:r>
              <w:rPr>
                <w:rFonts w:hint="eastAsia" w:ascii="仿宋" w:hAnsi="仿宋" w:eastAsia="仿宋" w:cs="仿宋"/>
                <w:color w:val="auto"/>
                <w:sz w:val="24"/>
                <w:szCs w:val="24"/>
                <w:lang w:val="en-US" w:eastAsia="zh-CN"/>
              </w:rPr>
              <w:t>与20家国内系统重要性银行分行级或其子公司合作开展的监控、报警联网服务项目案例（须提供相关案例合同证明材料，如果合同无显示金额则需要提供对应合同的发票，以合同签订日期为准）</w:t>
            </w:r>
          </w:p>
        </w:tc>
        <w:tc>
          <w:tcPr>
            <w:tcW w:w="2378" w:type="dxa"/>
            <w:vAlign w:val="center"/>
          </w:tcPr>
          <w:p w14:paraId="2D8137DE">
            <w:pPr>
              <w:rPr>
                <w:rFonts w:hint="eastAsia" w:ascii="仿宋" w:hAnsi="仿宋" w:eastAsia="仿宋" w:cs="仿宋"/>
                <w:color w:val="auto"/>
                <w:sz w:val="24"/>
                <w:szCs w:val="24"/>
                <w:lang w:eastAsia="zh-CN"/>
              </w:rPr>
            </w:pPr>
          </w:p>
        </w:tc>
        <w:tc>
          <w:tcPr>
            <w:tcW w:w="4819" w:type="dxa"/>
            <w:vAlign w:val="center"/>
          </w:tcPr>
          <w:p w14:paraId="0A6FE8C1">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w:t>
            </w:r>
          </w:p>
        </w:tc>
      </w:tr>
      <w:tr w14:paraId="6CD0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vAlign w:val="center"/>
          </w:tcPr>
          <w:p w14:paraId="2F48E985">
            <w:pPr>
              <w:ind w:left="0" w:leftChars="0" w:firstLine="0" w:firstLineChars="0"/>
              <w:rPr>
                <w:rFonts w:hint="eastAsia" w:ascii="仿宋" w:hAnsi="仿宋" w:eastAsia="仿宋" w:cs="仿宋"/>
                <w:b/>
                <w:bCs/>
                <w:color w:val="auto"/>
                <w:sz w:val="28"/>
                <w:szCs w:val="28"/>
                <w:highlight w:val="none"/>
              </w:rPr>
            </w:pPr>
            <w:r>
              <w:rPr>
                <w:rFonts w:hint="eastAsia" w:ascii="仿宋" w:hAnsi="仿宋" w:eastAsia="仿宋" w:cs="仿宋"/>
                <w:sz w:val="24"/>
                <w:szCs w:val="24"/>
                <w:lang w:val="en-US" w:eastAsia="zh-CN"/>
              </w:rPr>
              <w:t>具备进入人民银行深圳中心支行金库资格</w:t>
            </w:r>
          </w:p>
        </w:tc>
        <w:tc>
          <w:tcPr>
            <w:tcW w:w="2378" w:type="dxa"/>
            <w:vAlign w:val="center"/>
          </w:tcPr>
          <w:p w14:paraId="7B2E86E3">
            <w:pPr>
              <w:ind w:left="0" w:leftChars="0" w:firstLine="0" w:firstLineChars="0"/>
              <w:rPr>
                <w:rFonts w:hint="eastAsia" w:ascii="仿宋" w:hAnsi="仿宋" w:eastAsia="仿宋" w:cs="仿宋"/>
                <w:b/>
                <w:bCs/>
                <w:color w:val="auto"/>
                <w:sz w:val="28"/>
                <w:szCs w:val="28"/>
                <w:highlight w:val="none"/>
              </w:rPr>
            </w:pPr>
          </w:p>
        </w:tc>
        <w:tc>
          <w:tcPr>
            <w:tcW w:w="4819" w:type="dxa"/>
            <w:vAlign w:val="center"/>
          </w:tcPr>
          <w:p w14:paraId="58DDDD58">
            <w:pPr>
              <w:ind w:left="0" w:leftChars="0" w:firstLine="0" w:firstLineChars="0"/>
              <w:rPr>
                <w:rFonts w:hint="eastAsia" w:ascii="仿宋" w:hAnsi="仿宋" w:eastAsia="仿宋" w:cs="仿宋"/>
                <w:b/>
                <w:bCs/>
                <w:color w:val="auto"/>
                <w:sz w:val="28"/>
                <w:szCs w:val="28"/>
                <w:highlight w:val="none"/>
              </w:rPr>
            </w:pPr>
          </w:p>
        </w:tc>
      </w:tr>
      <w:tr w14:paraId="00703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14:paraId="668FE0CF">
            <w:pPr>
              <w:ind w:left="0" w:leftChars="0" w:firstLine="0" w:firstLineChars="0"/>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二、报名要求</w:t>
            </w:r>
          </w:p>
        </w:tc>
      </w:tr>
      <w:tr w14:paraId="1656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shd w:val="clear" w:color="auto" w:fill="auto"/>
            <w:vAlign w:val="center"/>
          </w:tcPr>
          <w:p w14:paraId="2349E78C">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依法成立，为存续、在营、开业、在册、登记成立等正常企业状态。</w:t>
            </w:r>
          </w:p>
        </w:tc>
        <w:tc>
          <w:tcPr>
            <w:tcW w:w="2378" w:type="dxa"/>
            <w:vAlign w:val="center"/>
          </w:tcPr>
          <w:p w14:paraId="22B5A8A3">
            <w:pPr>
              <w:rPr>
                <w:rFonts w:hint="eastAsia" w:ascii="仿宋" w:hAnsi="仿宋" w:eastAsia="仿宋" w:cs="仿宋"/>
                <w:color w:val="auto"/>
                <w:sz w:val="24"/>
                <w:szCs w:val="24"/>
                <w:lang w:val="en-US" w:eastAsia="zh-CN"/>
              </w:rPr>
            </w:pPr>
          </w:p>
        </w:tc>
        <w:tc>
          <w:tcPr>
            <w:tcW w:w="4819" w:type="dxa"/>
            <w:vAlign w:val="center"/>
          </w:tcPr>
          <w:p w14:paraId="048EC0E2">
            <w:pPr>
              <w:rPr>
                <w:rFonts w:hint="eastAsia" w:ascii="仿宋" w:hAnsi="仿宋" w:eastAsia="仿宋" w:cs="仿宋"/>
                <w:color w:val="auto"/>
                <w:sz w:val="24"/>
                <w:szCs w:val="24"/>
                <w:lang w:val="en-US" w:eastAsia="zh-CN"/>
              </w:rPr>
            </w:pPr>
          </w:p>
        </w:tc>
      </w:tr>
      <w:tr w14:paraId="1CFD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366" w:type="dxa"/>
            <w:shd w:val="clear" w:color="auto" w:fill="auto"/>
            <w:vAlign w:val="center"/>
          </w:tcPr>
          <w:p w14:paraId="5531515A">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在兴业银行开立对公账户，若中标本项目，则通过兴业银行对公账户结算该项目相关费用。</w:t>
            </w:r>
          </w:p>
        </w:tc>
        <w:tc>
          <w:tcPr>
            <w:tcW w:w="2378" w:type="dxa"/>
            <w:vAlign w:val="center"/>
          </w:tcPr>
          <w:p w14:paraId="46A2F918">
            <w:pPr>
              <w:rPr>
                <w:rFonts w:hint="eastAsia" w:ascii="仿宋" w:hAnsi="仿宋" w:eastAsia="仿宋" w:cs="仿宋"/>
                <w:color w:val="auto"/>
                <w:sz w:val="24"/>
                <w:szCs w:val="24"/>
                <w:lang w:val="en-US" w:eastAsia="zh-CN"/>
              </w:rPr>
            </w:pPr>
          </w:p>
        </w:tc>
        <w:tc>
          <w:tcPr>
            <w:tcW w:w="4819" w:type="dxa"/>
            <w:vAlign w:val="center"/>
          </w:tcPr>
          <w:p w14:paraId="674F0B8A">
            <w:pPr>
              <w:rPr>
                <w:rFonts w:hint="eastAsia" w:ascii="仿宋" w:hAnsi="仿宋" w:eastAsia="仿宋" w:cs="仿宋"/>
                <w:color w:val="auto"/>
                <w:sz w:val="24"/>
                <w:szCs w:val="24"/>
                <w:lang w:val="en-US" w:eastAsia="zh-CN"/>
              </w:rPr>
            </w:pPr>
          </w:p>
        </w:tc>
      </w:tr>
      <w:tr w14:paraId="2757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2366" w:type="dxa"/>
            <w:shd w:val="clear" w:color="auto" w:fill="auto"/>
            <w:vAlign w:val="center"/>
          </w:tcPr>
          <w:p w14:paraId="7638E107">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充分理解我行服务需求并能够根据需求提供相应的服务。</w:t>
            </w:r>
          </w:p>
        </w:tc>
        <w:tc>
          <w:tcPr>
            <w:tcW w:w="2378" w:type="dxa"/>
            <w:vAlign w:val="center"/>
          </w:tcPr>
          <w:p w14:paraId="022A3572">
            <w:pPr>
              <w:rPr>
                <w:rFonts w:hint="eastAsia" w:ascii="仿宋" w:hAnsi="仿宋" w:eastAsia="仿宋" w:cs="仿宋"/>
                <w:color w:val="auto"/>
                <w:sz w:val="24"/>
                <w:szCs w:val="24"/>
                <w:lang w:val="en-US" w:eastAsia="zh-CN"/>
              </w:rPr>
            </w:pPr>
          </w:p>
        </w:tc>
        <w:tc>
          <w:tcPr>
            <w:tcW w:w="4819" w:type="dxa"/>
            <w:vAlign w:val="center"/>
          </w:tcPr>
          <w:p w14:paraId="79D1E25D">
            <w:pPr>
              <w:rPr>
                <w:rFonts w:hint="eastAsia" w:ascii="仿宋" w:hAnsi="仿宋" w:eastAsia="仿宋" w:cs="仿宋"/>
                <w:color w:val="auto"/>
                <w:sz w:val="24"/>
                <w:szCs w:val="24"/>
                <w:lang w:val="en-US" w:eastAsia="zh-CN"/>
              </w:rPr>
            </w:pPr>
          </w:p>
        </w:tc>
      </w:tr>
      <w:tr w14:paraId="39FA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2366" w:type="dxa"/>
            <w:shd w:val="clear" w:color="auto" w:fill="auto"/>
            <w:vAlign w:val="center"/>
          </w:tcPr>
          <w:p w14:paraId="176635F3">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具有良好的商业信誉且经营正常。</w:t>
            </w:r>
          </w:p>
        </w:tc>
        <w:tc>
          <w:tcPr>
            <w:tcW w:w="2378" w:type="dxa"/>
            <w:vAlign w:val="center"/>
          </w:tcPr>
          <w:p w14:paraId="31E4322E">
            <w:pPr>
              <w:rPr>
                <w:rFonts w:hint="eastAsia" w:ascii="仿宋" w:hAnsi="仿宋" w:eastAsia="仿宋" w:cs="仿宋"/>
                <w:color w:val="auto"/>
                <w:sz w:val="24"/>
                <w:szCs w:val="24"/>
                <w:lang w:val="en-US" w:eastAsia="zh-CN"/>
              </w:rPr>
            </w:pPr>
          </w:p>
        </w:tc>
        <w:tc>
          <w:tcPr>
            <w:tcW w:w="4819" w:type="dxa"/>
            <w:vAlign w:val="center"/>
          </w:tcPr>
          <w:p w14:paraId="2E1CD3D2">
            <w:pPr>
              <w:rPr>
                <w:rFonts w:hint="eastAsia" w:ascii="仿宋" w:hAnsi="仿宋" w:eastAsia="仿宋" w:cs="仿宋"/>
                <w:color w:val="auto"/>
                <w:sz w:val="24"/>
                <w:szCs w:val="24"/>
                <w:lang w:val="en-US" w:eastAsia="zh-CN"/>
              </w:rPr>
            </w:pPr>
          </w:p>
        </w:tc>
      </w:tr>
      <w:tr w14:paraId="0F73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2366" w:type="dxa"/>
            <w:shd w:val="clear" w:color="auto" w:fill="auto"/>
            <w:vAlign w:val="center"/>
          </w:tcPr>
          <w:p w14:paraId="047ADB57">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 依法缴纳税收和社会保障资金。</w:t>
            </w:r>
          </w:p>
        </w:tc>
        <w:tc>
          <w:tcPr>
            <w:tcW w:w="2378" w:type="dxa"/>
            <w:vAlign w:val="center"/>
          </w:tcPr>
          <w:p w14:paraId="49801DE7">
            <w:pPr>
              <w:rPr>
                <w:rFonts w:hint="eastAsia" w:ascii="仿宋" w:hAnsi="仿宋" w:eastAsia="仿宋" w:cs="仿宋"/>
                <w:color w:val="auto"/>
                <w:sz w:val="24"/>
                <w:szCs w:val="24"/>
                <w:lang w:val="en-US" w:eastAsia="zh-CN"/>
              </w:rPr>
            </w:pPr>
          </w:p>
        </w:tc>
        <w:tc>
          <w:tcPr>
            <w:tcW w:w="4819" w:type="dxa"/>
            <w:vAlign w:val="center"/>
          </w:tcPr>
          <w:p w14:paraId="10B8CCD6">
            <w:pPr>
              <w:rPr>
                <w:rFonts w:hint="eastAsia" w:ascii="仿宋" w:hAnsi="仿宋" w:eastAsia="仿宋" w:cs="仿宋"/>
                <w:color w:val="auto"/>
                <w:sz w:val="24"/>
                <w:szCs w:val="24"/>
                <w:lang w:val="en-US" w:eastAsia="zh-CN"/>
              </w:rPr>
            </w:pPr>
          </w:p>
        </w:tc>
      </w:tr>
      <w:tr w14:paraId="3A35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2366" w:type="dxa"/>
            <w:shd w:val="clear" w:color="auto" w:fill="auto"/>
            <w:vAlign w:val="center"/>
          </w:tcPr>
          <w:p w14:paraId="110F8E70">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 未被“信用中国”网列入“重大税收违法案件当事人名单”、未被“中国执行信息公开网”列入“失信被执行人名单”、未被“中国政府采购网”列入“政府采购严重违法失信行为信息记录名单”、未被“国家企业信用信息公示系统”列入网站“严重违法失信企业名单”，不在兴业银行供应商禁用/退出期内。</w:t>
            </w:r>
          </w:p>
        </w:tc>
        <w:tc>
          <w:tcPr>
            <w:tcW w:w="2378" w:type="dxa"/>
            <w:vAlign w:val="center"/>
          </w:tcPr>
          <w:p w14:paraId="4BBFD4CE">
            <w:pPr>
              <w:rPr>
                <w:rFonts w:hint="eastAsia" w:ascii="仿宋" w:hAnsi="仿宋" w:eastAsia="仿宋" w:cs="仿宋"/>
                <w:color w:val="auto"/>
                <w:sz w:val="24"/>
                <w:szCs w:val="24"/>
                <w:lang w:val="en-US" w:eastAsia="zh-CN"/>
              </w:rPr>
            </w:pPr>
          </w:p>
        </w:tc>
        <w:tc>
          <w:tcPr>
            <w:tcW w:w="4819" w:type="dxa"/>
            <w:vAlign w:val="center"/>
          </w:tcPr>
          <w:p w14:paraId="1205F433">
            <w:pPr>
              <w:rPr>
                <w:rFonts w:hint="eastAsia" w:ascii="仿宋" w:hAnsi="仿宋" w:eastAsia="仿宋" w:cs="仿宋"/>
                <w:color w:val="auto"/>
                <w:sz w:val="24"/>
                <w:szCs w:val="24"/>
                <w:lang w:val="en-US" w:eastAsia="zh-CN"/>
              </w:rPr>
            </w:pPr>
          </w:p>
        </w:tc>
      </w:tr>
      <w:tr w14:paraId="17DA6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2366" w:type="dxa"/>
            <w:shd w:val="clear" w:color="auto" w:fill="auto"/>
            <w:vAlign w:val="center"/>
          </w:tcPr>
          <w:p w14:paraId="3A231FED">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经营范围经国家行政管理部门依法批准，同时获得从事行业有效执业证明、行政许可、专业资质等证照。</w:t>
            </w:r>
          </w:p>
        </w:tc>
        <w:tc>
          <w:tcPr>
            <w:tcW w:w="2378" w:type="dxa"/>
            <w:vAlign w:val="center"/>
          </w:tcPr>
          <w:p w14:paraId="04A4201F">
            <w:pPr>
              <w:rPr>
                <w:rFonts w:hint="eastAsia" w:ascii="仿宋" w:hAnsi="仿宋" w:eastAsia="仿宋" w:cs="仿宋"/>
                <w:color w:val="auto"/>
                <w:sz w:val="24"/>
                <w:szCs w:val="24"/>
                <w:lang w:val="en-US" w:eastAsia="zh-CN"/>
              </w:rPr>
            </w:pPr>
          </w:p>
        </w:tc>
        <w:tc>
          <w:tcPr>
            <w:tcW w:w="4819" w:type="dxa"/>
            <w:vAlign w:val="center"/>
          </w:tcPr>
          <w:p w14:paraId="0573B169">
            <w:pPr>
              <w:rPr>
                <w:rFonts w:hint="eastAsia" w:ascii="仿宋" w:hAnsi="仿宋" w:eastAsia="仿宋" w:cs="仿宋"/>
                <w:color w:val="auto"/>
                <w:sz w:val="24"/>
                <w:szCs w:val="24"/>
                <w:lang w:val="en-US" w:eastAsia="zh-CN"/>
              </w:rPr>
            </w:pPr>
          </w:p>
        </w:tc>
      </w:tr>
      <w:tr w14:paraId="41E0D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2366" w:type="dxa"/>
            <w:shd w:val="clear" w:color="auto" w:fill="auto"/>
            <w:vAlign w:val="center"/>
          </w:tcPr>
          <w:p w14:paraId="0BA13799">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两年内目标服务领域未出现严重安全事件。</w:t>
            </w:r>
          </w:p>
        </w:tc>
        <w:tc>
          <w:tcPr>
            <w:tcW w:w="2378" w:type="dxa"/>
            <w:vAlign w:val="center"/>
          </w:tcPr>
          <w:p w14:paraId="55096746">
            <w:pPr>
              <w:rPr>
                <w:rFonts w:hint="eastAsia" w:ascii="仿宋" w:hAnsi="仿宋" w:eastAsia="仿宋" w:cs="仿宋"/>
                <w:color w:val="auto"/>
                <w:sz w:val="24"/>
                <w:szCs w:val="24"/>
                <w:lang w:val="en-US" w:eastAsia="zh-CN"/>
              </w:rPr>
            </w:pPr>
          </w:p>
        </w:tc>
        <w:tc>
          <w:tcPr>
            <w:tcW w:w="4819" w:type="dxa"/>
            <w:vAlign w:val="center"/>
          </w:tcPr>
          <w:p w14:paraId="568C05F6">
            <w:pPr>
              <w:rPr>
                <w:rFonts w:hint="eastAsia" w:ascii="仿宋" w:hAnsi="仿宋" w:eastAsia="仿宋" w:cs="仿宋"/>
                <w:color w:val="auto"/>
                <w:sz w:val="24"/>
                <w:szCs w:val="24"/>
                <w:lang w:val="en-US" w:eastAsia="zh-CN"/>
              </w:rPr>
            </w:pPr>
          </w:p>
        </w:tc>
      </w:tr>
    </w:tbl>
    <w:p w14:paraId="3E0B854E">
      <w:pPr>
        <w:keepNext w:val="0"/>
        <w:keepLines w:val="0"/>
        <w:pageBreakBefore w:val="0"/>
        <w:widowControl w:val="0"/>
        <w:kinsoku/>
        <w:wordWrap/>
        <w:overflowPunct/>
        <w:topLinePunct/>
        <w:autoSpaceDE/>
        <w:autoSpaceDN/>
        <w:bidi w:val="0"/>
        <w:adjustRightInd/>
        <w:snapToGrid/>
        <w:spacing w:line="579" w:lineRule="exact"/>
        <w:ind w:firstLine="640" w:firstLineChars="200"/>
        <w:textAlignment w:val="auto"/>
        <w:rPr>
          <w:rFonts w:hint="eastAsia" w:ascii="仿宋" w:hAnsi="仿宋" w:eastAsia="仿宋" w:cs="仿宋"/>
          <w:b w:val="0"/>
          <w:bCs w:val="0"/>
          <w:sz w:val="32"/>
          <w:szCs w:val="32"/>
          <w:highlight w:val="none"/>
        </w:rPr>
      </w:pPr>
      <w:r>
        <w:rPr>
          <w:rFonts w:hint="eastAsia" w:ascii="仿宋" w:hAnsi="仿宋" w:eastAsia="仿宋" w:cs="仿宋"/>
          <w:sz w:val="32"/>
          <w:szCs w:val="32"/>
          <w:highlight w:val="none"/>
        </w:rPr>
        <w:t>供应商须对报名信息和资料的真实性负责。如提供虚假材料，将取消报名资格并列入我行供应商黑名单。</w:t>
      </w:r>
    </w:p>
    <w:p w14:paraId="0AEAA0DE">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二、</w:t>
      </w:r>
      <w:r>
        <w:rPr>
          <w:rFonts w:hint="eastAsia" w:ascii="黑体" w:hAnsi="黑体" w:eastAsia="黑体" w:cs="黑体"/>
          <w:b w:val="0"/>
          <w:bCs/>
          <w:sz w:val="32"/>
          <w:szCs w:val="32"/>
          <w:highlight w:val="none"/>
        </w:rPr>
        <w:t>供应商基础信息部分</w:t>
      </w:r>
    </w:p>
    <w:tbl>
      <w:tblPr>
        <w:tblStyle w:val="8"/>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14:paraId="5AB0B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78B7B7FF">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基本信息项</w:t>
            </w:r>
          </w:p>
        </w:tc>
        <w:tc>
          <w:tcPr>
            <w:tcW w:w="4563" w:type="dxa"/>
            <w:vAlign w:val="center"/>
          </w:tcPr>
          <w:p w14:paraId="6508E3B6">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基本说明</w:t>
            </w:r>
          </w:p>
        </w:tc>
      </w:tr>
      <w:tr w14:paraId="71017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119F28C0">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注册资金及实缴资本（万）</w:t>
            </w:r>
          </w:p>
        </w:tc>
        <w:tc>
          <w:tcPr>
            <w:tcW w:w="4563" w:type="dxa"/>
          </w:tcPr>
          <w:p w14:paraId="0B1DF6ED">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注册资金：    万</w:t>
            </w:r>
          </w:p>
          <w:p w14:paraId="713EED58">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实缴资金：    万</w:t>
            </w:r>
          </w:p>
        </w:tc>
      </w:tr>
      <w:tr w14:paraId="34D5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73A3B79">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上一年度是否盈利</w:t>
            </w:r>
          </w:p>
        </w:tc>
        <w:tc>
          <w:tcPr>
            <w:tcW w:w="4563" w:type="dxa"/>
            <w:vAlign w:val="center"/>
          </w:tcPr>
          <w:p w14:paraId="0984820D">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是/否</w:t>
            </w:r>
          </w:p>
        </w:tc>
      </w:tr>
      <w:tr w14:paraId="6F83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2C5B797C">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公司注册所在地</w:t>
            </w:r>
          </w:p>
        </w:tc>
        <w:tc>
          <w:tcPr>
            <w:tcW w:w="4563" w:type="dxa"/>
            <w:vAlign w:val="center"/>
          </w:tcPr>
          <w:p w14:paraId="793689C2">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14:paraId="0D5A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B565D47">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公司办公地址</w:t>
            </w:r>
          </w:p>
        </w:tc>
        <w:tc>
          <w:tcPr>
            <w:tcW w:w="4563" w:type="dxa"/>
            <w:vAlign w:val="center"/>
          </w:tcPr>
          <w:p w14:paraId="5AD32805">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14:paraId="6A9A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33E1F8EB">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是否可以在兴业银行开立对公账户，并承诺若中标本项目，则通过兴业银行对公账户结算该项目相关费用。</w:t>
            </w:r>
            <w:r>
              <w:rPr>
                <w:rFonts w:hint="eastAsia" w:ascii="仿宋" w:hAnsi="仿宋" w:eastAsia="仿宋" w:cs="仿宋"/>
                <w:b/>
                <w:color w:val="FF0000"/>
                <w:sz w:val="28"/>
                <w:szCs w:val="28"/>
                <w:highlight w:val="none"/>
              </w:rPr>
              <w:t>（如无法在本行开户则将无法参与本行项目招标工作）</w:t>
            </w:r>
          </w:p>
        </w:tc>
        <w:tc>
          <w:tcPr>
            <w:tcW w:w="4563" w:type="dxa"/>
            <w:vAlign w:val="center"/>
          </w:tcPr>
          <w:p w14:paraId="63F5AB11">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是否已在兴业银行开立对公账户：</w:t>
            </w:r>
            <w:r>
              <w:rPr>
                <w:rFonts w:hint="eastAsia" w:ascii="仿宋" w:hAnsi="仿宋" w:eastAsia="仿宋" w:cs="仿宋"/>
                <w:b/>
                <w:sz w:val="28"/>
                <w:szCs w:val="28"/>
                <w:highlight w:val="none"/>
              </w:rPr>
              <w:t>是/否</w:t>
            </w:r>
          </w:p>
          <w:p w14:paraId="20142CB4">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若未开户，是否可以承诺若中标则在兴业银行开立对公账户并通过该账户结算该项目相关费用：</w:t>
            </w:r>
            <w:r>
              <w:rPr>
                <w:rFonts w:hint="eastAsia" w:ascii="仿宋" w:hAnsi="仿宋" w:eastAsia="仿宋" w:cs="仿宋"/>
                <w:b/>
                <w:sz w:val="28"/>
                <w:szCs w:val="28"/>
                <w:highlight w:val="none"/>
              </w:rPr>
              <w:t>是/否</w:t>
            </w:r>
          </w:p>
        </w:tc>
      </w:tr>
      <w:tr w14:paraId="4800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DC50B95">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公司法人</w:t>
            </w:r>
          </w:p>
        </w:tc>
        <w:tc>
          <w:tcPr>
            <w:tcW w:w="4563" w:type="dxa"/>
            <w:vAlign w:val="center"/>
          </w:tcPr>
          <w:p w14:paraId="292CB34D">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14:paraId="046CC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4B3891F6">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企业性质</w:t>
            </w:r>
          </w:p>
        </w:tc>
        <w:tc>
          <w:tcPr>
            <w:tcW w:w="4563" w:type="dxa"/>
            <w:vAlign w:val="center"/>
          </w:tcPr>
          <w:p w14:paraId="63D98F2C">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i w:val="0"/>
                <w:iCs w:val="0"/>
                <w:sz w:val="28"/>
                <w:szCs w:val="28"/>
                <w:highlight w:val="none"/>
              </w:rPr>
              <w:t>国有企业/集体所有制/私营企业/中外合资企业/股份制企业</w:t>
            </w:r>
          </w:p>
        </w:tc>
      </w:tr>
      <w:tr w14:paraId="02771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ED00339">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highlight w:val="none"/>
                <w:lang w:val="en-US"/>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财务指标</w:t>
            </w:r>
          </w:p>
        </w:tc>
        <w:tc>
          <w:tcPr>
            <w:tcW w:w="4563" w:type="dxa"/>
          </w:tcPr>
          <w:p w14:paraId="42F8803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一、资产总额：</w:t>
            </w:r>
          </w:p>
          <w:p w14:paraId="78A0E8E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highlight w:val="none"/>
                <w:lang w:val="en-US" w:eastAsia="zh-CN"/>
                <w14:textFill>
                  <w14:solidFill>
                    <w14:schemeClr w14:val="tx1"/>
                  </w14:solidFill>
                </w14:textFill>
              </w:rPr>
              <w:t>近三年营收</w:t>
            </w:r>
          </w:p>
          <w:p w14:paraId="404A6C9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highlight w:val="none"/>
                <w:lang w:val="en-US" w:eastAsia="zh-CN"/>
                <w14:textFill>
                  <w14:solidFill>
                    <w14:schemeClr w14:val="tx1"/>
                  </w14:solidFill>
                </w14:textFill>
              </w:rPr>
              <w:t>近三年利润</w:t>
            </w:r>
          </w:p>
          <w:p w14:paraId="3B6A4B7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auto"/>
                <w:kern w:val="2"/>
                <w:sz w:val="28"/>
                <w:szCs w:val="28"/>
                <w:highlight w:val="none"/>
                <w:lang w:val="en-US" w:eastAsia="zh-CN" w:bidi="ar-SA"/>
              </w:rPr>
              <w:t>四、最近两年来自兴业银行集团贡献的营业收入是否高于公司营收70%（含）：是/否</w:t>
            </w:r>
          </w:p>
        </w:tc>
      </w:tr>
      <w:tr w14:paraId="142F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5D2D2D4">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企业资质、认证</w:t>
            </w:r>
          </w:p>
        </w:tc>
        <w:tc>
          <w:tcPr>
            <w:tcW w:w="4563" w:type="dxa"/>
          </w:tcPr>
          <w:p w14:paraId="49A1F3AC">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一、</w:t>
            </w:r>
          </w:p>
          <w:p w14:paraId="6376F940">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rPr>
              <w:t>、</w:t>
            </w:r>
          </w:p>
          <w:p w14:paraId="32A783FE">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p>
        </w:tc>
      </w:tr>
      <w:tr w14:paraId="6B5F1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49C15AE4">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分公司名单</w:t>
            </w:r>
          </w:p>
        </w:tc>
        <w:tc>
          <w:tcPr>
            <w:tcW w:w="4563" w:type="dxa"/>
            <w:vAlign w:val="center"/>
          </w:tcPr>
          <w:p w14:paraId="26FC1788">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w:t>
            </w:r>
          </w:p>
          <w:p w14:paraId="1D3FC395">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rPr>
              <w:t>、</w:t>
            </w:r>
          </w:p>
          <w:p w14:paraId="201F96CD">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rPr>
              <w:t>、</w:t>
            </w:r>
          </w:p>
          <w:p w14:paraId="527C9BF4">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仅列分公司名单，无需列子公司名单</w:t>
            </w:r>
          </w:p>
        </w:tc>
      </w:tr>
      <w:tr w14:paraId="2D6EC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5DBE3424">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公司员工数量</w:t>
            </w:r>
          </w:p>
        </w:tc>
        <w:tc>
          <w:tcPr>
            <w:tcW w:w="4563" w:type="dxa"/>
            <w:vAlign w:val="center"/>
          </w:tcPr>
          <w:p w14:paraId="0AE653EA">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*人（不含子公司人数）</w:t>
            </w:r>
          </w:p>
        </w:tc>
      </w:tr>
      <w:tr w14:paraId="54D0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14:paraId="74659E31">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联系人信息</w:t>
            </w:r>
          </w:p>
        </w:tc>
        <w:tc>
          <w:tcPr>
            <w:tcW w:w="4563" w:type="dxa"/>
          </w:tcPr>
          <w:p w14:paraId="0DDC57E0">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p>
          <w:p w14:paraId="49A094E6">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职务：</w:t>
            </w:r>
          </w:p>
          <w:p w14:paraId="3ED342F6">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手机：</w:t>
            </w:r>
          </w:p>
          <w:p w14:paraId="681B8C92">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邮箱地址：</w:t>
            </w:r>
          </w:p>
        </w:tc>
      </w:tr>
      <w:tr w14:paraId="4C9A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14:paraId="0C5BFC8C">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经营范围</w:t>
            </w:r>
          </w:p>
        </w:tc>
        <w:tc>
          <w:tcPr>
            <w:tcW w:w="4563" w:type="dxa"/>
          </w:tcPr>
          <w:p w14:paraId="3DB6A9F5">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highlight w:val="none"/>
              </w:rPr>
            </w:pPr>
          </w:p>
        </w:tc>
      </w:tr>
      <w:tr w14:paraId="0C63C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14:paraId="39165C8C">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负面信息</w:t>
            </w:r>
          </w:p>
        </w:tc>
        <w:tc>
          <w:tcPr>
            <w:tcW w:w="4563" w:type="dxa"/>
          </w:tcPr>
          <w:p w14:paraId="6C32CDC4">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highlight w:val="none"/>
                <w:lang w:val="en-GB" w:eastAsia="zh-CN"/>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val="en-GB" w:eastAsia="zh-CN"/>
              </w:rPr>
              <w:t>目标服务领域</w:t>
            </w:r>
            <w:r>
              <w:rPr>
                <w:rFonts w:hint="eastAsia" w:ascii="仿宋" w:hAnsi="仿宋" w:eastAsia="仿宋" w:cs="仿宋"/>
                <w:sz w:val="28"/>
                <w:szCs w:val="28"/>
                <w:highlight w:val="none"/>
                <w:lang w:val="en-US" w:eastAsia="zh-CN"/>
              </w:rPr>
              <w:t>是否</w:t>
            </w:r>
            <w:r>
              <w:rPr>
                <w:rFonts w:hint="eastAsia" w:ascii="仿宋" w:hAnsi="仿宋" w:eastAsia="仿宋" w:cs="仿宋"/>
                <w:sz w:val="28"/>
                <w:szCs w:val="28"/>
                <w:highlight w:val="none"/>
                <w:lang w:val="en-GB" w:eastAsia="zh-CN"/>
              </w:rPr>
              <w:t>出现严重安全事件。</w:t>
            </w:r>
          </w:p>
          <w:p w14:paraId="5393A267">
            <w:pPr>
              <w:pStyle w:val="11"/>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sz w:val="28"/>
                <w:szCs w:val="28"/>
                <w:highlight w:val="none"/>
                <w:lang w:val="en-US" w:eastAsia="zh-CN"/>
              </w:rPr>
              <w:t>2.提供</w:t>
            </w:r>
            <w:r>
              <w:rPr>
                <w:rFonts w:hint="eastAsia" w:ascii="仿宋" w:hAnsi="仿宋" w:eastAsia="仿宋" w:cs="仿宋"/>
                <w:sz w:val="28"/>
                <w:szCs w:val="28"/>
                <w:highlight w:val="none"/>
                <w:lang w:val="en-GB" w:eastAsia="zh-CN"/>
              </w:rPr>
              <w:t>“信用中国</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lang w:val="en-GB" w:eastAsia="zh-CN"/>
              </w:rPr>
              <w:t>重大税收违法案件当事人名单”、“中国执行信息公开网</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lang w:val="en-GB" w:eastAsia="zh-CN"/>
              </w:rPr>
              <w:t>失信被执行人名单”、“中国政府采购网</w:t>
            </w:r>
            <w:r>
              <w:rPr>
                <w:rFonts w:hint="eastAsia" w:ascii="仿宋" w:hAnsi="仿宋" w:eastAsia="仿宋" w:cs="仿宋"/>
                <w:sz w:val="28"/>
                <w:szCs w:val="28"/>
                <w:highlight w:val="none"/>
                <w:lang w:val="en-US" w:eastAsia="zh-CN"/>
              </w:rPr>
              <w:t>-政府采购严重违法失信行为信息记录名单</w:t>
            </w:r>
            <w:r>
              <w:rPr>
                <w:rFonts w:hint="eastAsia" w:ascii="仿宋" w:hAnsi="仿宋" w:eastAsia="仿宋" w:cs="仿宋"/>
                <w:sz w:val="28"/>
                <w:szCs w:val="28"/>
                <w:highlight w:val="none"/>
                <w:lang w:val="en-GB" w:eastAsia="zh-CN"/>
              </w:rPr>
              <w:t>”、“国家企业信用信息公示系统</w:t>
            </w:r>
            <w:r>
              <w:rPr>
                <w:rFonts w:hint="eastAsia" w:ascii="仿宋" w:hAnsi="仿宋" w:eastAsia="仿宋" w:cs="仿宋"/>
                <w:sz w:val="28"/>
                <w:szCs w:val="28"/>
                <w:highlight w:val="none"/>
                <w:lang w:val="en-US" w:eastAsia="zh-CN"/>
              </w:rPr>
              <w:t>-严重违法失信企业名单</w:t>
            </w:r>
            <w:r>
              <w:rPr>
                <w:rFonts w:hint="eastAsia" w:ascii="仿宋" w:hAnsi="仿宋" w:eastAsia="仿宋" w:cs="仿宋"/>
                <w:sz w:val="28"/>
                <w:szCs w:val="28"/>
                <w:highlight w:val="none"/>
                <w:lang w:val="en-GB" w:eastAsia="zh-CN"/>
              </w:rPr>
              <w:t>”平台</w:t>
            </w:r>
            <w:r>
              <w:rPr>
                <w:rFonts w:hint="eastAsia" w:ascii="仿宋" w:hAnsi="仿宋" w:eastAsia="仿宋" w:cs="仿宋"/>
                <w:sz w:val="28"/>
                <w:szCs w:val="28"/>
                <w:highlight w:val="none"/>
                <w:lang w:val="en-US" w:eastAsia="zh-CN"/>
              </w:rPr>
              <w:t>查询截图。</w:t>
            </w:r>
          </w:p>
        </w:tc>
      </w:tr>
    </w:tbl>
    <w:p w14:paraId="5C56BF35">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请提供：</w:t>
      </w:r>
    </w:p>
    <w:p w14:paraId="4C2CFEB4">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1.</w:t>
      </w:r>
      <w:r>
        <w:rPr>
          <w:rFonts w:hint="eastAsia" w:ascii="仿宋" w:hAnsi="仿宋" w:eastAsia="仿宋" w:cs="仿宋"/>
          <w:color w:val="000000" w:themeColor="text1"/>
          <w:sz w:val="32"/>
          <w:szCs w:val="32"/>
          <w:highlight w:val="none"/>
          <w14:textFill>
            <w14:solidFill>
              <w14:schemeClr w14:val="tx1"/>
            </w14:solidFill>
          </w14:textFill>
        </w:rPr>
        <w:t>公司章程（如有）</w:t>
      </w:r>
    </w:p>
    <w:p w14:paraId="38307028">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w:t>
      </w:r>
      <w:r>
        <w:rPr>
          <w:rFonts w:hint="eastAsia" w:ascii="仿宋" w:hAnsi="仿宋" w:eastAsia="仿宋" w:cs="仿宋"/>
          <w:color w:val="000000" w:themeColor="text1"/>
          <w:sz w:val="32"/>
          <w:szCs w:val="32"/>
          <w:highlight w:val="none"/>
          <w14:textFill>
            <w14:solidFill>
              <w14:schemeClr w14:val="tx1"/>
            </w14:solidFill>
          </w14:textFill>
        </w:rPr>
        <w:t>营业执照（事业单位法人证书或类似执业许可证）</w:t>
      </w:r>
    </w:p>
    <w:p w14:paraId="633F7061">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w:t>
      </w:r>
      <w:r>
        <w:rPr>
          <w:rFonts w:hint="eastAsia" w:ascii="仿宋" w:hAnsi="仿宋" w:eastAsia="仿宋" w:cs="仿宋"/>
          <w:color w:val="000000" w:themeColor="text1"/>
          <w:sz w:val="32"/>
          <w:szCs w:val="32"/>
          <w:highlight w:val="none"/>
          <w14:textFill>
            <w14:solidFill>
              <w14:schemeClr w14:val="tx1"/>
            </w14:solidFill>
          </w14:textFill>
        </w:rPr>
        <w:t>公司法人身份证的原件扫描件</w:t>
      </w:r>
    </w:p>
    <w:p w14:paraId="6A89E30B">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highlight w:val="none"/>
          <w:lang w:val="en-US" w:eastAsia="zh-CN"/>
          <w14:textFill>
            <w14:solidFill>
              <w14:schemeClr w14:val="tx1"/>
            </w14:solidFill>
          </w14:textFill>
        </w:rPr>
        <w:t>4.提供国家企业信用信息公示系统查询，为存续、在营、开业、在册、登记成立等正常企业状态的截图。</w:t>
      </w:r>
    </w:p>
    <w:p w14:paraId="34DC479B">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14:paraId="67AB2ADD">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14:paraId="47D21208">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三、</w:t>
      </w:r>
      <w:r>
        <w:rPr>
          <w:rFonts w:hint="eastAsia" w:ascii="黑体" w:hAnsi="黑体" w:eastAsia="黑体" w:cs="黑体"/>
          <w:b w:val="0"/>
          <w:bCs/>
          <w:sz w:val="32"/>
          <w:szCs w:val="32"/>
          <w:highlight w:val="none"/>
        </w:rPr>
        <w:t>与本项目相关的案例情况</w:t>
      </w:r>
    </w:p>
    <w:p w14:paraId="21406776">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i w:val="0"/>
          <w:iCs w:val="0"/>
          <w:caps w:val="0"/>
          <w:color w:val="000000"/>
          <w:spacing w:val="0"/>
          <w:sz w:val="32"/>
          <w:szCs w:val="32"/>
          <w:shd w:val="clear" w:fill="FFFFFF"/>
        </w:rPr>
        <w:t>202</w:t>
      </w:r>
      <w:r>
        <w:rPr>
          <w:rFonts w:hint="eastAsia" w:ascii="仿宋" w:hAnsi="仿宋" w:eastAsia="仿宋" w:cs="仿宋"/>
          <w:i w:val="0"/>
          <w:iCs w:val="0"/>
          <w:caps w:val="0"/>
          <w:color w:val="000000"/>
          <w:spacing w:val="0"/>
          <w:sz w:val="32"/>
          <w:szCs w:val="32"/>
          <w:shd w:val="clear" w:fill="FFFFFF"/>
          <w:lang w:val="en-US" w:eastAsia="zh-CN"/>
        </w:rPr>
        <w:t>2</w:t>
      </w:r>
      <w:r>
        <w:rPr>
          <w:rFonts w:hint="eastAsia" w:ascii="仿宋" w:hAnsi="仿宋" w:eastAsia="仿宋" w:cs="仿宋"/>
          <w:i w:val="0"/>
          <w:iCs w:val="0"/>
          <w:caps w:val="0"/>
          <w:color w:val="000000"/>
          <w:spacing w:val="0"/>
          <w:sz w:val="32"/>
          <w:szCs w:val="32"/>
          <w:shd w:val="clear" w:fill="FFFFFF"/>
        </w:rPr>
        <w:t>年</w:t>
      </w:r>
      <w:r>
        <w:rPr>
          <w:rFonts w:hint="eastAsia" w:ascii="仿宋" w:hAnsi="仿宋" w:eastAsia="仿宋" w:cs="仿宋"/>
          <w:i w:val="0"/>
          <w:iCs w:val="0"/>
          <w:caps w:val="0"/>
          <w:color w:val="000000"/>
          <w:spacing w:val="0"/>
          <w:sz w:val="32"/>
          <w:szCs w:val="32"/>
          <w:shd w:val="clear" w:fill="FFFFFF"/>
          <w:lang w:val="en-US" w:eastAsia="zh-CN"/>
        </w:rPr>
        <w:t>12月1日</w:t>
      </w:r>
      <w:r>
        <w:rPr>
          <w:rFonts w:hint="eastAsia" w:ascii="仿宋" w:hAnsi="仿宋" w:eastAsia="仿宋" w:cs="仿宋"/>
          <w:i w:val="0"/>
          <w:iCs w:val="0"/>
          <w:caps w:val="0"/>
          <w:color w:val="000000"/>
          <w:spacing w:val="0"/>
          <w:sz w:val="32"/>
          <w:szCs w:val="32"/>
          <w:shd w:val="clear" w:fill="FFFFFF"/>
        </w:rPr>
        <w:t>至今</w:t>
      </w:r>
      <w:r>
        <w:rPr>
          <w:rFonts w:hint="eastAsia" w:ascii="仿宋" w:hAnsi="仿宋" w:eastAsia="仿宋" w:cs="仿宋"/>
          <w:i w:val="0"/>
          <w:iCs w:val="0"/>
          <w:caps w:val="0"/>
          <w:color w:val="000000"/>
          <w:spacing w:val="0"/>
          <w:sz w:val="32"/>
          <w:szCs w:val="32"/>
          <w:shd w:val="clear" w:fill="FFFFFF"/>
          <w:lang w:val="en-US" w:eastAsia="zh-CN"/>
        </w:rPr>
        <w:t>与20家</w:t>
      </w:r>
      <w:r>
        <w:rPr>
          <w:rFonts w:hint="eastAsia" w:ascii="仿宋" w:hAnsi="仿宋" w:eastAsia="仿宋" w:cs="仿宋"/>
          <w:i w:val="0"/>
          <w:iCs w:val="0"/>
          <w:caps w:val="0"/>
          <w:color w:val="000000"/>
          <w:spacing w:val="0"/>
          <w:sz w:val="32"/>
          <w:szCs w:val="32"/>
          <w:shd w:val="clear" w:fill="FFFFFF"/>
        </w:rPr>
        <w:t>国内系统重要性银行</w:t>
      </w:r>
      <w:r>
        <w:rPr>
          <w:rFonts w:hint="eastAsia" w:ascii="仿宋" w:hAnsi="仿宋" w:eastAsia="仿宋" w:cs="仿宋"/>
          <w:i w:val="0"/>
          <w:iCs w:val="0"/>
          <w:caps w:val="0"/>
          <w:color w:val="000000"/>
          <w:spacing w:val="0"/>
          <w:sz w:val="32"/>
          <w:szCs w:val="32"/>
          <w:shd w:val="clear" w:fill="FFFFFF"/>
          <w:lang w:val="en-US" w:eastAsia="zh-CN"/>
        </w:rPr>
        <w:t>开展的押运委托项目案例</w:t>
      </w:r>
      <w:r>
        <w:rPr>
          <w:rFonts w:hint="eastAsia" w:ascii="仿宋" w:hAnsi="仿宋" w:eastAsia="仿宋" w:cs="仿宋"/>
          <w:i w:val="0"/>
          <w:iCs w:val="0"/>
          <w:caps w:val="0"/>
          <w:color w:val="000000"/>
          <w:spacing w:val="0"/>
          <w:sz w:val="32"/>
          <w:szCs w:val="32"/>
          <w:shd w:val="clear" w:fill="FFFFFF"/>
        </w:rPr>
        <w:t>（须提供相关案例合同证明材料，如果合同无显示金额则需要提供对应合同</w:t>
      </w:r>
      <w:r>
        <w:rPr>
          <w:rFonts w:hint="eastAsia" w:ascii="仿宋" w:hAnsi="仿宋" w:eastAsia="仿宋" w:cs="仿宋"/>
          <w:i w:val="0"/>
          <w:iCs w:val="0"/>
          <w:caps w:val="0"/>
          <w:color w:val="000000"/>
          <w:spacing w:val="0"/>
          <w:sz w:val="32"/>
          <w:szCs w:val="32"/>
          <w:shd w:val="clear" w:fill="FFFFFF"/>
          <w:lang w:val="en-US" w:eastAsia="zh-CN"/>
        </w:rPr>
        <w:t>的</w:t>
      </w:r>
      <w:r>
        <w:rPr>
          <w:rFonts w:hint="eastAsia" w:ascii="仿宋" w:hAnsi="仿宋" w:eastAsia="仿宋" w:cs="仿宋"/>
          <w:i w:val="0"/>
          <w:iCs w:val="0"/>
          <w:caps w:val="0"/>
          <w:color w:val="000000"/>
          <w:spacing w:val="0"/>
          <w:sz w:val="32"/>
          <w:szCs w:val="32"/>
          <w:shd w:val="clear" w:fill="FFFFFF"/>
        </w:rPr>
        <w:t>发票，以合同签订日期为准）【重要提醒：请供应商将符合本项要求的案例，尽量全部提交。】</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14:paraId="12962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14:paraId="50995767">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序号</w:t>
            </w:r>
          </w:p>
        </w:tc>
        <w:tc>
          <w:tcPr>
            <w:tcW w:w="1465" w:type="pct"/>
            <w:vAlign w:val="center"/>
          </w:tcPr>
          <w:p w14:paraId="73AA70FC">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甲方</w:t>
            </w:r>
          </w:p>
        </w:tc>
        <w:tc>
          <w:tcPr>
            <w:tcW w:w="1010" w:type="pct"/>
            <w:vAlign w:val="center"/>
          </w:tcPr>
          <w:p w14:paraId="2D89BF2D">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合同名称</w:t>
            </w:r>
          </w:p>
        </w:tc>
        <w:tc>
          <w:tcPr>
            <w:tcW w:w="1101" w:type="pct"/>
            <w:vAlign w:val="center"/>
          </w:tcPr>
          <w:p w14:paraId="1E35C014">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案例简介</w:t>
            </w:r>
          </w:p>
        </w:tc>
        <w:tc>
          <w:tcPr>
            <w:tcW w:w="852" w:type="pct"/>
            <w:vAlign w:val="center"/>
          </w:tcPr>
          <w:p w14:paraId="24D94B2C">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页码</w:t>
            </w:r>
          </w:p>
        </w:tc>
      </w:tr>
      <w:tr w14:paraId="23A3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14:paraId="36273277">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w:t>
            </w:r>
          </w:p>
        </w:tc>
        <w:tc>
          <w:tcPr>
            <w:tcW w:w="1465" w:type="pct"/>
          </w:tcPr>
          <w:p w14:paraId="446C5A38">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例：建设银行</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（甲方全称）</w:t>
            </w:r>
          </w:p>
        </w:tc>
        <w:tc>
          <w:tcPr>
            <w:tcW w:w="1010" w:type="pct"/>
          </w:tcPr>
          <w:p w14:paraId="0F61A3BD">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1101" w:type="pct"/>
          </w:tcPr>
          <w:p w14:paraId="3C9F3085">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852" w:type="pct"/>
          </w:tcPr>
          <w:p w14:paraId="79A10B80">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查见本文档第四部分第*页</w:t>
            </w:r>
          </w:p>
        </w:tc>
      </w:tr>
      <w:tr w14:paraId="4DF49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14:paraId="3956323C">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w:t>
            </w:r>
          </w:p>
        </w:tc>
        <w:tc>
          <w:tcPr>
            <w:tcW w:w="1465" w:type="pct"/>
          </w:tcPr>
          <w:p w14:paraId="41452FB7">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1010" w:type="pct"/>
          </w:tcPr>
          <w:p w14:paraId="21256B20">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1101" w:type="pct"/>
          </w:tcPr>
          <w:p w14:paraId="66658F09">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852" w:type="pct"/>
          </w:tcPr>
          <w:p w14:paraId="747FAB31">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r>
      <w:tr w14:paraId="1224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14:paraId="119680D7">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1465" w:type="pct"/>
          </w:tcPr>
          <w:p w14:paraId="5170B828">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1010" w:type="pct"/>
          </w:tcPr>
          <w:p w14:paraId="6647CB41">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1101" w:type="pct"/>
          </w:tcPr>
          <w:p w14:paraId="648531C1">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852" w:type="pct"/>
          </w:tcPr>
          <w:p w14:paraId="6098D9AC">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r>
      <w:tr w14:paraId="1BEC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14:paraId="636B83D9">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1465" w:type="pct"/>
          </w:tcPr>
          <w:p w14:paraId="5ACB6B52">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1010" w:type="pct"/>
          </w:tcPr>
          <w:p w14:paraId="4E0C41F6">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1101" w:type="pct"/>
          </w:tcPr>
          <w:p w14:paraId="21E59731">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c>
          <w:tcPr>
            <w:tcW w:w="852" w:type="pct"/>
          </w:tcPr>
          <w:p w14:paraId="64EF0DEF">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highlight w:val="none"/>
              </w:rPr>
            </w:pPr>
          </w:p>
        </w:tc>
      </w:tr>
    </w:tbl>
    <w:p w14:paraId="3A30289E">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在此根据上述合所列合同清单依次附录合同证明材料。需包含合同首尾页，内容页及服务内容证明页的扫描件。</w:t>
      </w:r>
    </w:p>
    <w:p w14:paraId="4F57A2A0">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四、</w:t>
      </w:r>
      <w:r>
        <w:rPr>
          <w:rFonts w:hint="eastAsia" w:ascii="黑体" w:hAnsi="黑体" w:eastAsia="黑体" w:cs="黑体"/>
          <w:b w:val="0"/>
          <w:bCs/>
          <w:sz w:val="32"/>
          <w:szCs w:val="32"/>
          <w:highlight w:val="none"/>
        </w:rPr>
        <w:t>详细介绍</w:t>
      </w:r>
    </w:p>
    <w:p w14:paraId="131E9D6E">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highlight w:val="none"/>
        </w:rPr>
      </w:pPr>
      <w:r>
        <w:rPr>
          <w:rFonts w:hint="eastAsia" w:ascii="楷体" w:hAnsi="楷体" w:eastAsia="楷体" w:cs="楷体"/>
          <w:b w:val="0"/>
          <w:bCs w:val="0"/>
          <w:sz w:val="32"/>
          <w:szCs w:val="32"/>
          <w:highlight w:val="none"/>
          <w:lang w:eastAsia="zh-CN"/>
        </w:rPr>
        <w:t>（</w:t>
      </w:r>
      <w:r>
        <w:rPr>
          <w:rFonts w:hint="eastAsia" w:ascii="楷体" w:hAnsi="楷体" w:eastAsia="楷体" w:cs="楷体"/>
          <w:b w:val="0"/>
          <w:bCs w:val="0"/>
          <w:sz w:val="32"/>
          <w:szCs w:val="32"/>
          <w:highlight w:val="none"/>
          <w:lang w:val="en-US" w:eastAsia="zh-CN"/>
        </w:rPr>
        <w:t>一</w:t>
      </w:r>
      <w:r>
        <w:rPr>
          <w:rFonts w:hint="eastAsia" w:ascii="楷体" w:hAnsi="楷体" w:eastAsia="楷体" w:cs="楷体"/>
          <w:b w:val="0"/>
          <w:bCs w:val="0"/>
          <w:sz w:val="32"/>
          <w:szCs w:val="32"/>
          <w:highlight w:val="none"/>
          <w:lang w:eastAsia="zh-CN"/>
        </w:rPr>
        <w:t>）</w:t>
      </w:r>
      <w:r>
        <w:rPr>
          <w:rFonts w:hint="eastAsia" w:ascii="楷体" w:hAnsi="楷体" w:eastAsia="楷体" w:cs="楷体"/>
          <w:b w:val="0"/>
          <w:bCs w:val="0"/>
          <w:sz w:val="32"/>
          <w:szCs w:val="32"/>
          <w:highlight w:val="none"/>
        </w:rPr>
        <w:t>公司简介</w:t>
      </w:r>
    </w:p>
    <w:p w14:paraId="2976578D">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highlight w:val="none"/>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14:paraId="6F84488B">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highlight w:val="none"/>
          <w:lang w:eastAsia="zh-CN"/>
        </w:rPr>
      </w:pPr>
      <w:r>
        <w:rPr>
          <w:rFonts w:hint="eastAsia" w:ascii="楷体" w:hAnsi="楷体" w:eastAsia="楷体" w:cs="楷体"/>
          <w:b w:val="0"/>
          <w:bCs w:val="0"/>
          <w:sz w:val="32"/>
          <w:szCs w:val="32"/>
          <w:highlight w:val="none"/>
          <w:lang w:eastAsia="zh-CN"/>
        </w:rPr>
        <w:t>（二）公司资质、认证等材料（</w:t>
      </w:r>
      <w:r>
        <w:rPr>
          <w:rFonts w:hint="eastAsia" w:ascii="楷体" w:hAnsi="楷体" w:eastAsia="楷体" w:cs="楷体"/>
          <w:b w:val="0"/>
          <w:bCs w:val="0"/>
          <w:sz w:val="32"/>
          <w:szCs w:val="32"/>
          <w:highlight w:val="none"/>
          <w:lang w:val="en-US" w:eastAsia="zh-CN"/>
        </w:rPr>
        <w:t>扫描件</w:t>
      </w:r>
      <w:r>
        <w:rPr>
          <w:rFonts w:hint="eastAsia" w:ascii="楷体" w:hAnsi="楷体" w:eastAsia="楷体" w:cs="楷体"/>
          <w:b w:val="0"/>
          <w:bCs w:val="0"/>
          <w:sz w:val="32"/>
          <w:szCs w:val="32"/>
          <w:highlight w:val="none"/>
          <w:lang w:eastAsia="zh-CN"/>
        </w:rPr>
        <w:t>）</w:t>
      </w:r>
    </w:p>
    <w:p w14:paraId="162B8780">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包括但不限于：</w:t>
      </w:r>
    </w:p>
    <w:p w14:paraId="117BE77D">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1.行业资质认证。例如：质量管理体系认证，环境管理体系认证，职业健康安全管理体系认证等。</w:t>
      </w:r>
    </w:p>
    <w:p w14:paraId="362A719E">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2.产品认证。如3C 认证，节能环保产品认证等。</w:t>
      </w:r>
    </w:p>
    <w:p w14:paraId="2C46380A">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highlight w:val="none"/>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3.技术能力介绍：①公司拥有的自主知识产权名称、数量（须提供扫描件作为证明），②行业内龙头企业排名或优质企业资质认证材料。</w:t>
      </w:r>
    </w:p>
    <w:p w14:paraId="41EF8D19">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highlight w:val="none"/>
          <w:lang w:val="en-US" w:eastAsia="zh-CN"/>
        </w:rPr>
      </w:pPr>
      <w:r>
        <w:rPr>
          <w:rFonts w:hint="eastAsia" w:ascii="楷体" w:hAnsi="楷体" w:eastAsia="楷体" w:cs="楷体"/>
          <w:b w:val="0"/>
          <w:bCs w:val="0"/>
          <w:sz w:val="32"/>
          <w:szCs w:val="32"/>
          <w:highlight w:val="none"/>
          <w:lang w:val="en-US" w:eastAsia="zh-CN"/>
        </w:rPr>
        <w:t>（三）与兴业银行历史合作情况</w:t>
      </w:r>
    </w:p>
    <w:tbl>
      <w:tblPr>
        <w:tblStyle w:val="7"/>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14:paraId="42235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BF84">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highlight w:val="none"/>
                <w:u w:val="none"/>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highlight w:val="none"/>
                <w:u w:val="none"/>
                <w:lang w:val="en-US" w:eastAsia="zh-CN" w:bidi="ar"/>
              </w:rPr>
              <w:t>与兴业银行合作情况</w:t>
            </w:r>
          </w:p>
        </w:tc>
      </w:tr>
      <w:tr w14:paraId="493DB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F2905">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7A217">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F46CF">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285A">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E8F73">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3EF02">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highlight w:val="none"/>
                <w:u w:val="none"/>
              </w:rPr>
            </w:pPr>
            <w:r>
              <w:rPr>
                <w:rFonts w:hint="eastAsia" w:ascii="仿宋" w:hAnsi="仿宋" w:eastAsia="仿宋" w:cs="仿宋"/>
                <w:b/>
                <w:bCs/>
                <w:i w:val="0"/>
                <w:iCs w:val="0"/>
                <w:color w:val="000000"/>
                <w:kern w:val="0"/>
                <w:sz w:val="28"/>
                <w:szCs w:val="28"/>
                <w:highlight w:val="none"/>
                <w:u w:val="none"/>
                <w:lang w:val="en-US" w:eastAsia="zh-CN" w:bidi="ar"/>
              </w:rPr>
              <w:t>与兴业银行历史合作期间出现违约或严重过失行为的情况说明（不限于近两年）</w:t>
            </w:r>
          </w:p>
        </w:tc>
      </w:tr>
      <w:tr w14:paraId="1FB01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952B6">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EEF29">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B4B85">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A3F4">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B9F36">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E1080">
            <w:pPr>
              <w:jc w:val="both"/>
              <w:rPr>
                <w:rFonts w:hint="eastAsia" w:ascii="仿宋" w:hAnsi="仿宋" w:eastAsia="仿宋" w:cs="仿宋"/>
                <w:i w:val="0"/>
                <w:iCs w:val="0"/>
                <w:color w:val="000000"/>
                <w:sz w:val="28"/>
                <w:szCs w:val="28"/>
                <w:highlight w:val="none"/>
                <w:u w:val="none"/>
              </w:rPr>
            </w:pPr>
          </w:p>
        </w:tc>
      </w:tr>
      <w:tr w14:paraId="5A982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423CE">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D38B2">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2D0F">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F85A9">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00A79">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98B50">
            <w:pPr>
              <w:jc w:val="both"/>
              <w:rPr>
                <w:rFonts w:hint="eastAsia" w:ascii="仿宋" w:hAnsi="仿宋" w:eastAsia="仿宋" w:cs="仿宋"/>
                <w:i w:val="0"/>
                <w:iCs w:val="0"/>
                <w:color w:val="000000"/>
                <w:sz w:val="28"/>
                <w:szCs w:val="28"/>
                <w:highlight w:val="none"/>
                <w:u w:val="none"/>
              </w:rPr>
            </w:pPr>
          </w:p>
        </w:tc>
      </w:tr>
      <w:tr w14:paraId="7C111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2614B">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r>
              <w:rPr>
                <w:rFonts w:hint="eastAsia" w:ascii="仿宋" w:hAnsi="仿宋" w:eastAsia="仿宋" w:cs="仿宋"/>
                <w:i w:val="0"/>
                <w:iCs w:val="0"/>
                <w:color w:val="000000"/>
                <w:kern w:val="0"/>
                <w:sz w:val="28"/>
                <w:szCs w:val="28"/>
                <w:highlight w:val="none"/>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074BC">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9CAA9">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EE313">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C5734">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6A73F">
            <w:pPr>
              <w:jc w:val="both"/>
              <w:rPr>
                <w:rFonts w:hint="eastAsia" w:ascii="仿宋" w:hAnsi="仿宋" w:eastAsia="仿宋" w:cs="仿宋"/>
                <w:i w:val="0"/>
                <w:iCs w:val="0"/>
                <w:color w:val="000000"/>
                <w:sz w:val="28"/>
                <w:szCs w:val="28"/>
                <w:highlight w:val="none"/>
                <w:u w:val="none"/>
              </w:rPr>
            </w:pPr>
          </w:p>
        </w:tc>
      </w:tr>
      <w:tr w14:paraId="21E33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D73A6">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highlight w:val="none"/>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03DE5">
            <w:pPr>
              <w:jc w:val="both"/>
              <w:rPr>
                <w:rFonts w:hint="eastAsia" w:ascii="仿宋" w:hAnsi="仿宋" w:eastAsia="仿宋" w:cs="仿宋"/>
                <w:i w:val="0"/>
                <w:iCs w:val="0"/>
                <w:color w:val="000000"/>
                <w:sz w:val="28"/>
                <w:szCs w:val="28"/>
                <w:highlight w:val="none"/>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CF66A">
            <w:pPr>
              <w:jc w:val="both"/>
              <w:rPr>
                <w:rFonts w:hint="eastAsia" w:ascii="仿宋" w:hAnsi="仿宋" w:eastAsia="仿宋" w:cs="仿宋"/>
                <w:i w:val="0"/>
                <w:iCs w:val="0"/>
                <w:color w:val="000000"/>
                <w:sz w:val="28"/>
                <w:szCs w:val="28"/>
                <w:highlight w:val="none"/>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628FD">
            <w:pPr>
              <w:jc w:val="both"/>
              <w:rPr>
                <w:rFonts w:hint="eastAsia" w:ascii="仿宋" w:hAnsi="仿宋" w:eastAsia="仿宋" w:cs="仿宋"/>
                <w:i w:val="0"/>
                <w:iCs w:val="0"/>
                <w:color w:val="000000"/>
                <w:sz w:val="28"/>
                <w:szCs w:val="28"/>
                <w:highlight w:val="none"/>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0AD53">
            <w:pPr>
              <w:jc w:val="both"/>
              <w:rPr>
                <w:rFonts w:hint="eastAsia" w:ascii="仿宋" w:hAnsi="仿宋" w:eastAsia="仿宋" w:cs="仿宋"/>
                <w:i w:val="0"/>
                <w:iCs w:val="0"/>
                <w:color w:val="000000"/>
                <w:sz w:val="28"/>
                <w:szCs w:val="28"/>
                <w:highlight w:val="none"/>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66B6F">
            <w:pPr>
              <w:jc w:val="both"/>
              <w:rPr>
                <w:rFonts w:hint="eastAsia" w:ascii="仿宋" w:hAnsi="仿宋" w:eastAsia="仿宋" w:cs="仿宋"/>
                <w:i w:val="0"/>
                <w:iCs w:val="0"/>
                <w:color w:val="000000"/>
                <w:sz w:val="28"/>
                <w:szCs w:val="28"/>
                <w:highlight w:val="none"/>
                <w:u w:val="none"/>
              </w:rPr>
            </w:pPr>
          </w:p>
        </w:tc>
      </w:tr>
    </w:tbl>
    <w:p w14:paraId="20675E52">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49715A7"/>
    <w:rsid w:val="04B26EF8"/>
    <w:rsid w:val="09B94042"/>
    <w:rsid w:val="0C912D5A"/>
    <w:rsid w:val="0DED7F9F"/>
    <w:rsid w:val="10111B39"/>
    <w:rsid w:val="13DD0D7A"/>
    <w:rsid w:val="18735F82"/>
    <w:rsid w:val="189139F8"/>
    <w:rsid w:val="27542F00"/>
    <w:rsid w:val="29D52E74"/>
    <w:rsid w:val="2AA80293"/>
    <w:rsid w:val="2E1F1A7A"/>
    <w:rsid w:val="2F824369"/>
    <w:rsid w:val="30482C68"/>
    <w:rsid w:val="3506172F"/>
    <w:rsid w:val="365B1D40"/>
    <w:rsid w:val="36F83C41"/>
    <w:rsid w:val="4072194E"/>
    <w:rsid w:val="4C0220A2"/>
    <w:rsid w:val="503B1E49"/>
    <w:rsid w:val="54D84438"/>
    <w:rsid w:val="56A372A1"/>
    <w:rsid w:val="56D25756"/>
    <w:rsid w:val="5966279D"/>
    <w:rsid w:val="5D760178"/>
    <w:rsid w:val="6C8F22A2"/>
    <w:rsid w:val="6CC60DF6"/>
    <w:rsid w:val="6D2537AC"/>
    <w:rsid w:val="70602DA7"/>
    <w:rsid w:val="79330017"/>
    <w:rsid w:val="799643CC"/>
    <w:rsid w:val="7B2302A3"/>
    <w:rsid w:val="7C2F7BF3"/>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Fließtext"/>
    <w:basedOn w:val="1"/>
    <w:qFormat/>
    <w:uiPriority w:val="0"/>
    <w:pPr>
      <w:overflowPunct w:val="0"/>
      <w:autoSpaceDE w:val="0"/>
      <w:autoSpaceDN w:val="0"/>
      <w:adjustRightInd w:val="0"/>
      <w:textAlignment w:val="baseline"/>
    </w:pPr>
    <w:rPr>
      <w:kern w:val="28"/>
      <w:szCs w:val="20"/>
    </w:rPr>
  </w:style>
  <w:style w:type="paragraph" w:customStyle="1" w:styleId="11">
    <w:name w:val="正文首行缩进 21"/>
    <w:basedOn w:val="12"/>
    <w:qFormat/>
    <w:uiPriority w:val="0"/>
    <w:pPr>
      <w:widowControl/>
      <w:ind w:firstLine="420"/>
    </w:pPr>
    <w:rPr>
      <w:szCs w:val="20"/>
    </w:rPr>
  </w:style>
  <w:style w:type="paragraph" w:customStyle="1" w:styleId="12">
    <w:name w:val="正文文本缩进1"/>
    <w:basedOn w:val="1"/>
    <w:qFormat/>
    <w:uiPriority w:val="0"/>
    <w:pPr>
      <w:spacing w:line="500" w:lineRule="exact"/>
      <w:ind w:firstLine="880"/>
    </w:pPr>
    <w:rPr>
      <w:szCs w:val="22"/>
    </w:rPr>
  </w:style>
  <w:style w:type="paragraph" w:styleId="13">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0</Words>
  <Characters>0</Characters>
  <Lines>0</Lines>
  <Paragraphs>0</Paragraphs>
  <TotalTime>2</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CIB</cp:lastModifiedBy>
  <dcterms:modified xsi:type="dcterms:W3CDTF">2025-12-23T09:43:02Z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DC862137CBCB4661A50B4B3E6B247A21_12</vt:lpwstr>
  </property>
</Properties>
</file>